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Kudimata — Full Product &amp; Technical Audit</w:t>
      </w:r>
    </w:p>
    <w:p>
      <w:pPr>
        <w:spacing w:after="120"/>
      </w:pPr>
      <w:r>
        <w:rPr>
          <w:i/>
          <w:iCs/>
          <w:color w:val="666666"/>
        </w:rPr>
        <w:t xml:space="preserve">Codebase audit (mobile, backend, admin dashboard) + competitor recon (Bamboo, Zedcrest) + consolidated feature roadmap</w:t>
      </w:r>
    </w:p>
    <w:p>
      <w:pPr>
        <w:spacing w:after="120"/>
      </w:pPr>
      <w:r>
        <w:rPr>
          <w:color w:val="666666"/>
          <w:sz w:val="20"/>
          <w:szCs w:val="20"/>
        </w:rPr>
        <w:t xml:space="preserve">Prepared 22 August 2026</w:t>
      </w:r>
    </w:p>
    <w:p>
      <w:pPr>
        <w:pStyle w:val="Heading1"/>
        <w:spacing w:after="160" w:before="320"/>
      </w:pPr>
      <w:r>
        <w:t xml:space="preserve">1. What this document is</w:t>
      </w:r>
    </w:p>
    <w:p>
      <w:pPr>
        <w:spacing w:after="120"/>
      </w:pPr>
      <w:r>
        <w:t xml:space="preserve">This pulls together everything from three sources: (1) a direct read of the three Kudimata repositories you shared — mobile app, backend, admin dashboard; (2) the two competitor research documents (Bamboo repo review, Kudimata-vs-Bamboo comparative review) plus the Bamboo security-alert email; (3) every feature discussed across our planning conversation (multi-broker architecture, AI/comprehension layer, wallet design, IPO subscription via Chapel Hill Denham's PrimaryOffer API, and so on).</w:t>
      </w:r>
    </w:p>
    <w:p>
      <w:pPr>
        <w:spacing w:after="120"/>
      </w:pPr>
      <w:r>
        <w:t xml:space="preserve">The headline finding: the actual codebase is considerably further along than a first glance suggests. This is not a prototype — there's a phased KYC flow, a real transaction/order data model, an audit log, staff RBAC, and an admin dashboard already wired to it. The gaps are concentrated in three places: (a) security/trust features Bamboo already ships, (b) the AI/comprehension layer that is Kudimata's actual differentiator, and (c) the multi-broker architecture the business strategy depends on — none of which exist in the data model yet.</w:t>
      </w:r>
    </w:p>
    <w:p>
      <w:pPr>
        <w:pStyle w:val="Heading1"/>
        <w:spacing w:after="160" w:before="320"/>
      </w:pPr>
      <w:r>
        <w:t xml:space="preserve">2. Current build — what's actually there</w:t>
      </w:r>
    </w:p>
    <w:p>
      <w:pPr>
        <w:spacing w:after="120"/>
      </w:pPr>
      <w:r>
        <w:t xml:space="preserve">This section exists because the plan should build on what's real, not assume a blank slate.</w:t>
      </w:r>
    </w:p>
    <w:p>
      <w:pPr>
        <w:pStyle w:val="Heading2"/>
        <w:spacing w:after="120" w:before="260"/>
      </w:pPr>
      <w:r>
        <w:t xml:space="preserve">2.1 Mobile app (Flutter)</w:t>
      </w:r>
    </w:p>
    <w:p>
      <w:pPr>
        <w:pStyle w:val="ListParagraph"/>
        <w:numPr>
          <w:ilvl w:val="0"/>
          <w:numId w:val="1"/>
        </w:numPr>
        <w:spacing w:after="60"/>
      </w:pPr>
      <w:r>
        <w:t xml:space="preserve">Onboarding: splash, sign-up, OTP verification, passcode creation/confirmation, biometric-enable screen, log-in, passcode reset, legal-document preview.</w:t>
      </w:r>
    </w:p>
    <w:p>
      <w:pPr>
        <w:pStyle w:val="ListParagraph"/>
        <w:numPr>
          <w:ilvl w:val="0"/>
          <w:numId w:val="1"/>
        </w:numPr>
        <w:spacing w:after="60"/>
      </w:pPr>
      <w:r>
        <w:t xml:space="preserve">KYC — genuinely phased, not a single form: intro → BVN/NIN → ID upload → liveness check → utility bill → next-of-kin → submitted → checking → approved / not-approved outcome screens. Backed by a real draft-state machine in the data model (see 2.2).</w:t>
      </w:r>
    </w:p>
    <w:p>
      <w:pPr>
        <w:pStyle w:val="ListParagraph"/>
        <w:numPr>
          <w:ilvl w:val="0"/>
          <w:numId w:val="1"/>
        </w:numPr>
        <w:spacing w:after="60"/>
      </w:pPr>
      <w:r>
        <w:t xml:space="preserve">Suitability: risk questionnaire, terms &amp; privacy acceptance, legal acceptance, result screen — this is the SEC-relevant suitability flow the compliance review called for.</w:t>
      </w:r>
    </w:p>
    <w:p>
      <w:pPr>
        <w:pStyle w:val="ListParagraph"/>
        <w:numPr>
          <w:ilvl w:val="0"/>
          <w:numId w:val="1"/>
        </w:numPr>
        <w:spacing w:after="60"/>
      </w:pPr>
      <w:r>
        <w:t xml:space="preserve">Markets: market list, asset detail, watchlist screen already exist.</w:t>
      </w:r>
    </w:p>
    <w:p>
      <w:pPr>
        <w:pStyle w:val="ListParagraph"/>
        <w:numPr>
          <w:ilvl w:val="0"/>
          <w:numId w:val="1"/>
        </w:numPr>
        <w:spacing w:after="60"/>
      </w:pPr>
      <w:r>
        <w:t xml:space="preserve">Trade: buy/sell order flows wired to a repository layer.</w:t>
      </w:r>
    </w:p>
    <w:p>
      <w:pPr>
        <w:pStyle w:val="ListParagraph"/>
        <w:numPr>
          <w:ilvl w:val="0"/>
          <w:numId w:val="1"/>
        </w:numPr>
        <w:spacing w:after="60"/>
      </w:pPr>
      <w:r>
        <w:t xml:space="preserve">Portfolio: holdings list, holding detail, order-status screen.</w:t>
      </w:r>
    </w:p>
    <w:p>
      <w:pPr>
        <w:pStyle w:val="ListParagraph"/>
        <w:numPr>
          <w:ilvl w:val="0"/>
          <w:numId w:val="1"/>
        </w:numPr>
        <w:spacing w:after="60"/>
      </w:pPr>
      <w:r>
        <w:t xml:space="preserve">Wallet: wallet screens and flows (fund/withdraw) present.</w:t>
      </w:r>
    </w:p>
    <w:p>
      <w:pPr>
        <w:pStyle w:val="ListParagraph"/>
        <w:numPr>
          <w:ilvl w:val="0"/>
          <w:numId w:val="1"/>
        </w:numPr>
        <w:spacing w:after="60"/>
      </w:pPr>
      <w:r>
        <w:t xml:space="preserve">Account: personal info, bank accounts, security, notification settings, statements, refer &amp; earn, FAQ, help &amp; support, legal — this is a fuller account section than the Bamboo review implied Kudimata had.</w:t>
      </w:r>
    </w:p>
    <w:p>
      <w:pPr>
        <w:pStyle w:val="ListParagraph"/>
        <w:numPr>
          <w:ilvl w:val="0"/>
          <w:numId w:val="1"/>
        </w:numPr>
        <w:spacing w:after="60"/>
      </w:pPr>
      <w:r>
        <w:t xml:space="preserve">Referrals: a dedicated refer-and-earn screen and repository already exist.</w:t>
      </w:r>
    </w:p>
    <w:p>
      <w:pPr>
        <w:pStyle w:val="Heading2"/>
        <w:spacing w:after="120" w:before="260"/>
      </w:pPr>
      <w:r>
        <w:t xml:space="preserve">2.2 Backend (NestJS + Prisma)</w:t>
      </w:r>
    </w:p>
    <w:p>
      <w:pPr>
        <w:spacing w:after="120"/>
      </w:pPr>
      <w:r>
        <w:t xml:space="preserve">The data model is more mature than expected. Notable design decisions already made:</w:t>
      </w:r>
    </w:p>
    <w:p>
      <w:pPr>
        <w:pStyle w:val="ListParagraph"/>
        <w:numPr>
          <w:ilvl w:val="0"/>
          <w:numId w:val="1"/>
        </w:numPr>
        <w:spacing w:after="60"/>
      </w:pPr>
      <w:r>
        <w:t xml:space="preserve">KYC has a real 'draft' status that persists across five separate submission steps (BVN/NIN, ID document, liveness, utility bill, next-of-kin) rather than one big form — matches the phased-KYC direction from the product research.</w:t>
      </w:r>
    </w:p>
    <w:p>
      <w:pPr>
        <w:pStyle w:val="ListParagraph"/>
        <w:numPr>
          <w:ilvl w:val="0"/>
          <w:numId w:val="1"/>
        </w:numPr>
        <w:spacing w:after="60"/>
      </w:pPr>
      <w:r>
        <w:t xml:space="preserve">Orders support both market and limit types, and accept either a share-unit count or a naira amount (server computes units from amount) — a real UX nicety most competitors don't bother with.</w:t>
      </w:r>
    </w:p>
    <w:p>
      <w:pPr>
        <w:pStyle w:val="ListParagraph"/>
        <w:numPr>
          <w:ilvl w:val="0"/>
          <w:numId w:val="1"/>
        </w:numPr>
        <w:spacing w:after="60"/>
      </w:pPr>
      <w:r>
        <w:t xml:space="preserve">Transaction types already include fund, withdraw, buy, sell, convert, and refund — 'convert' suggests FX/currency-conversion was anticipated in the schema even though it isn't built out yet.</w:t>
      </w:r>
    </w:p>
    <w:p>
      <w:pPr>
        <w:pStyle w:val="ListParagraph"/>
        <w:numPr>
          <w:ilvl w:val="0"/>
          <w:numId w:val="1"/>
        </w:numPr>
        <w:spacing w:after="60"/>
      </w:pPr>
      <w:r>
        <w:t xml:space="preserve">AssetClass enum already has ngx, us, and etf — the multi-asset-class ambition is in the schema, though only NGX appears functionally wired (see gaps).</w:t>
      </w:r>
    </w:p>
    <w:p>
      <w:pPr>
        <w:pStyle w:val="ListParagraph"/>
        <w:numPr>
          <w:ilvl w:val="0"/>
          <w:numId w:val="1"/>
        </w:numPr>
        <w:spacing w:after="60"/>
      </w:pPr>
      <w:r>
        <w:t xml:space="preserve">A full audit-log module exists (account / kyc / transaction / staff / session kinds) plus staff roles (super_admin, compliance_officer, kyc_reviewer, support) — real RBAC and an audit trail, not an afterthought.</w:t>
      </w:r>
    </w:p>
    <w:p>
      <w:pPr>
        <w:pStyle w:val="ListParagraph"/>
        <w:numPr>
          <w:ilvl w:val="0"/>
          <w:numId w:val="1"/>
        </w:numPr>
        <w:spacing w:after="60"/>
      </w:pPr>
      <w:r>
        <w:t xml:space="preserve">Legal documents and compliance acknowledgements are modeled as versioned, trackable records (risk_disclosure, client_agreement, privacy_policy, terms_of_service) — directly answers the 'legal documents need versioning and auditable acceptance, not just a PDF link' finding from the product research.</w:t>
      </w:r>
    </w:p>
    <w:p>
      <w:pPr>
        <w:pStyle w:val="ListParagraph"/>
        <w:numPr>
          <w:ilvl w:val="0"/>
          <w:numId w:val="1"/>
        </w:numPr>
        <w:spacing w:after="60"/>
      </w:pPr>
      <w:r>
        <w:t xml:space="preserve">Email notifications already cover: welcome, login-alert, password-changed, kyc-decision, transaction-status-changed, wallet-funded, order-filled, bank-account-added.</w:t>
      </w:r>
    </w:p>
    <w:p>
      <w:pPr>
        <w:pStyle w:val="ListParagraph"/>
        <w:numPr>
          <w:ilvl w:val="0"/>
          <w:numId w:val="1"/>
        </w:numPr>
        <w:spacing w:after="60"/>
      </w:pPr>
      <w:r>
        <w:t xml:space="preserve">An admin 'suspend account' endpoint exists (PATCH /users/:id/suspend) — freezes the account and writes an audit entry. This is staff-initiated, not self-service (see gap 3.1).</w:t>
      </w:r>
    </w:p>
    <w:p>
      <w:pPr>
        <w:pStyle w:val="Heading2"/>
        <w:spacing w:after="120" w:before="260"/>
      </w:pPr>
      <w:r>
        <w:t xml:space="preserve">2.3 Admin dashboard (Next.js)</w:t>
      </w:r>
    </w:p>
    <w:p>
      <w:pPr>
        <w:spacing w:after="120"/>
      </w:pPr>
      <w:r>
        <w:t xml:space="preserve">Pages already built: overview, users, transactions, orders, audit-log, staff, KYC review queue, login, and staff invite-acceptance. This is a working ops console, not a stub.</w:t>
      </w:r>
    </w:p>
    <w:p>
      <w:pPr>
        <w:pStyle w:val="Heading1"/>
        <w:spacing w:after="160" w:before="320"/>
      </w:pPr>
      <w:r>
        <w:t xml:space="preserve">3. Confirmed gaps</w:t>
      </w:r>
    </w:p>
    <w:p>
      <w:pPr>
        <w:pStyle w:val="Heading2"/>
        <w:spacing w:after="120" w:before="260"/>
      </w:pPr>
      <w:r>
        <w:t xml:space="preserve">3.1 Security &amp; trust — the Bamboo-email gap, confirmed in code</w:t>
      </w:r>
    </w:p>
    <w:p>
      <w:pPr>
        <w:spacing w:after="120"/>
      </w:pPr>
      <w:r>
        <w:t xml:space="preserve">The uploaded Bamboo login-alert email shows their pattern precisely: notify on new login → give the user a direct self-service 'Freeze Account' path in-app → provide a fraud-desk contact. Checking this against the code:</w:t>
      </w:r>
    </w:p>
    <w:p>
      <w:pPr>
        <w:pStyle w:val="ListParagraph"/>
        <w:numPr>
          <w:ilvl w:val="0"/>
          <w:numId w:val="1"/>
        </w:numPr>
        <w:spacing w:after="60"/>
      </w:pPr>
      <w:r>
        <w:t xml:space="preserve">The login-alert email already exists on the backend (auth.service.ts fires it). Good — parity with Bamboo there.</w:t>
      </w:r>
    </w:p>
    <w:p>
      <w:pPr>
        <w:pStyle w:val="ListParagraph"/>
        <w:numPr>
          <w:ilvl w:val="0"/>
          <w:numId w:val="1"/>
        </w:numPr>
        <w:spacing w:after="60"/>
      </w:pPr>
      <w:r>
        <w:t xml:space="preserve">But there is no self-service freeze action anywhere in the mobile app or its API layer. The only freeze/suspend capability is the admin-side PATCH /users/:id/suspend — a staff member has to do it. A user who gets the login-alert email today has no in-app button to protect themselves immediately, unlike Bamboo's flow.</w:t>
      </w:r>
    </w:p>
    <w:p>
      <w:pPr>
        <w:pStyle w:val="ListParagraph"/>
        <w:numPr>
          <w:ilvl w:val="0"/>
          <w:numId w:val="1"/>
        </w:numPr>
        <w:spacing w:after="60"/>
      </w:pPr>
      <w:r>
        <w:t xml:space="preserve">Two-factor authentication was explicitly removed from the security screen (a code comment notes it was a toggle with no real infrastructure behind it, removed 2026-08-10). Currently only signup/signin OTP exists — no step-up 2FA for sensitive actions (large withdrawal, adding a new bank account, changing security details).</w:t>
      </w:r>
    </w:p>
    <w:p>
      <w:pPr>
        <w:pStyle w:val="ListParagraph"/>
        <w:numPr>
          <w:ilvl w:val="0"/>
          <w:numId w:val="1"/>
        </w:numPr>
        <w:spacing w:after="60"/>
      </w:pPr>
      <w:r>
        <w:t xml:space="preserve">Biometric unlock is confirmed as a client-local UI toggle only — it flips app state but does not invoke real OS-level Face ID / fingerprint authentication. The code comment marks this explicitly as a 'SEAM' for future work — i.e., the team already knows this is unfinished, it just hasn't been picked up.</w:t>
      </w:r>
    </w:p>
    <w:p>
      <w:pPr>
        <w:pStyle w:val="ListParagraph"/>
        <w:numPr>
          <w:ilvl w:val="0"/>
          <w:numId w:val="1"/>
        </w:numPr>
        <w:spacing w:after="60"/>
      </w:pPr>
      <w:r>
        <w:t xml:space="preserve">No certificate pinning, device-integrity checks, or tamper detection were found — consistent with the original Bamboo-repo review's recommendation that these need a proper threat model before launch.</w:t>
      </w:r>
    </w:p>
    <w:p>
      <w:pPr>
        <w:pStyle w:val="Heading2"/>
        <w:spacing w:after="120" w:before="260"/>
      </w:pPr>
      <w:r>
        <w:t xml:space="preserve">3.2 Multi-broker &amp; CSCS architecture — not yet in the data model</w:t>
      </w:r>
    </w:p>
    <w:p>
      <w:pPr>
        <w:spacing w:after="120"/>
      </w:pPr>
      <w:r>
        <w:t xml:space="preserve">This is the gap that most directly affects the business strategy we've built out (multi-broker adapter, best-execution routing, broker-loss mitigation):</w:t>
      </w:r>
    </w:p>
    <w:p>
      <w:pPr>
        <w:pStyle w:val="ListParagraph"/>
        <w:numPr>
          <w:ilvl w:val="0"/>
          <w:numId w:val="1"/>
        </w:numPr>
        <w:spacing w:after="60"/>
      </w:pPr>
      <w:r>
        <w:t xml:space="preserve">User.cscsNumber is a single string field on the user, not a per-broker relationship. There is no concept of 'this holding sits under Broker A, this one under Broker B' anywhere in the schema.</w:t>
      </w:r>
    </w:p>
    <w:p>
      <w:pPr>
        <w:pStyle w:val="ListParagraph"/>
        <w:numPr>
          <w:ilvl w:val="0"/>
          <w:numId w:val="1"/>
        </w:numPr>
        <w:spacing w:after="60"/>
      </w:pPr>
      <w:r>
        <w:t xml:space="preserve">Asset and Holding are broker-agnostic — there's no brokerId/brokerCode on an order or a holding, so the sell-must-route-to-the-broker-holding-the-position rule we discussed has nowhere to attach yet.</w:t>
      </w:r>
    </w:p>
    <w:p>
      <w:pPr>
        <w:pStyle w:val="ListParagraph"/>
        <w:numPr>
          <w:ilvl w:val="0"/>
          <w:numId w:val="1"/>
        </w:numPr>
        <w:spacing w:after="60"/>
      </w:pPr>
      <w:r>
        <w:t xml:space="preserve">No reconciliation, settlement-status (T+N), or corporate-action (dividend, rights issue) modeling exists in the schema.</w:t>
      </w:r>
    </w:p>
    <w:p>
      <w:pPr>
        <w:pStyle w:val="ListParagraph"/>
        <w:numPr>
          <w:ilvl w:val="0"/>
          <w:numId w:val="1"/>
        </w:numPr>
        <w:spacing w:after="60"/>
      </w:pPr>
      <w:r>
        <w:t xml:space="preserve">This is expected at this stage — you're still single-broker — but it means the adapter/orchestration layer is a schema-level change, not just a new service. Worth designing the Order/Holding model to carry a brokerId before the second broker integration starts, rather than retrofitting it.</w:t>
      </w:r>
    </w:p>
    <w:p>
      <w:pPr>
        <w:pStyle w:val="Heading2"/>
        <w:spacing w:after="120" w:before="260"/>
      </w:pPr>
      <w:r>
        <w:t xml:space="preserve">3.3 Wallet &amp; currency — single-ledger, not multi-currency</w:t>
      </w:r>
    </w:p>
    <w:p>
      <w:pPr>
        <w:pStyle w:val="ListParagraph"/>
        <w:numPr>
          <w:ilvl w:val="0"/>
          <w:numId w:val="1"/>
        </w:numPr>
        <w:spacing w:after="60"/>
      </w:pPr>
      <w:r>
        <w:t xml:space="preserve">portfolioValue and wallet balances are tracked in kobo (naira) only. Bamboo's own screens (in the appendix screenshots) show separate USD and NGN wallets — Kudimata's schema doesn't yet have that split, which matters the moment US-stock or FX-denominated products are added.</w:t>
      </w:r>
    </w:p>
    <w:p>
      <w:pPr>
        <w:pStyle w:val="ListParagraph"/>
        <w:numPr>
          <w:ilvl w:val="0"/>
          <w:numId w:val="1"/>
        </w:numPr>
        <w:spacing w:after="60"/>
      </w:pPr>
      <w:r>
        <w:t xml:space="preserve">TransactionType already includes 'convert', suggesting this was anticipated — likely the next piece to build out when multi-currency becomes real.</w:t>
      </w:r>
    </w:p>
    <w:p>
      <w:pPr>
        <w:pStyle w:val="Heading2"/>
        <w:spacing w:after="120" w:before="260"/>
      </w:pPr>
      <w:r>
        <w:t xml:space="preserve">3.4 AI / comprehension layer — not present anywhere</w:t>
      </w:r>
    </w:p>
    <w:p>
      <w:pPr>
        <w:spacing w:after="120"/>
      </w:pPr>
      <w:r>
        <w:t xml:space="preserve">This is the layer we identified as Kudimata's actual differentiator (the 'explain this investment' feature, plain-English/Pidgin translation, document comprehension for filings and corporate actions, digests, nudges). None of it exists yet in mobile, backend, or dashboard:</w:t>
      </w:r>
    </w:p>
    <w:p>
      <w:pPr>
        <w:pStyle w:val="ListParagraph"/>
        <w:numPr>
          <w:ilvl w:val="0"/>
          <w:numId w:val="1"/>
        </w:numPr>
        <w:spacing w:after="60"/>
      </w:pPr>
      <w:r>
        <w:t xml:space="preserve">No 'Explain this' endpoint or screen.</w:t>
      </w:r>
    </w:p>
    <w:p>
      <w:pPr>
        <w:pStyle w:val="ListParagraph"/>
        <w:numPr>
          <w:ilvl w:val="0"/>
          <w:numId w:val="1"/>
        </w:numPr>
        <w:spacing w:after="60"/>
      </w:pPr>
      <w:r>
        <w:t xml:space="preserve">No fee/risk/liquidity/FX-exposure fields on the Asset model at all — so even a basic transparent product card (the thing the Bamboo review said Bamboo itself was missing) has nowhere to pull structured data from yet.</w:t>
      </w:r>
    </w:p>
    <w:p>
      <w:pPr>
        <w:pStyle w:val="ListParagraph"/>
        <w:numPr>
          <w:ilvl w:val="0"/>
          <w:numId w:val="1"/>
        </w:numPr>
        <w:spacing w:after="60"/>
      </w:pPr>
      <w:r>
        <w:t xml:space="preserve">No Pidgin/localization scaffolding found anywhere in the mobile app.</w:t>
      </w:r>
    </w:p>
    <w:p>
      <w:pPr>
        <w:pStyle w:val="ListParagraph"/>
        <w:numPr>
          <w:ilvl w:val="0"/>
          <w:numId w:val="1"/>
        </w:numPr>
        <w:spacing w:after="60"/>
      </w:pPr>
      <w:r>
        <w:t xml:space="preserve">No portfolio-intelligence layer (allocation, concentration, simulator) — Holding/Order are transactional records only, no analytics service sits on top.</w:t>
      </w:r>
    </w:p>
    <w:p>
      <w:pPr>
        <w:pStyle w:val="ListParagraph"/>
        <w:numPr>
          <w:ilvl w:val="0"/>
          <w:numId w:val="1"/>
        </w:numPr>
        <w:spacing w:after="60"/>
      </w:pPr>
      <w:r>
        <w:t xml:space="preserve">No digest, summary, or nudge infrastructure — no scheduled job or notification category for this exists in notification-preferences yet.</w:t>
      </w:r>
    </w:p>
    <w:p>
      <w:pPr>
        <w:pStyle w:val="Heading2"/>
        <w:spacing w:after="120" w:before="260"/>
      </w:pPr>
      <w:r>
        <w:t xml:space="preserve">3.5 Primary offers / IPO — not wired to PrimaryOffer or anything else</w:t>
      </w:r>
    </w:p>
    <w:p>
      <w:pPr>
        <w:pStyle w:val="ListParagraph"/>
        <w:numPr>
          <w:ilvl w:val="0"/>
          <w:numId w:val="1"/>
        </w:numPr>
        <w:spacing w:after="60"/>
      </w:pPr>
      <w:r>
        <w:t xml:space="preserve">Nothing in the schema or mobile screens supports subscribing to an IPO or rights issue (the Chapel Hill Denham PrimaryOffer flow). This would need a new module: list open offers, collect the subscription payload PrimaryOffer's API expects, track subscription status via their webhooks.</w:t>
      </w:r>
    </w:p>
    <w:p>
      <w:pPr>
        <w:pStyle w:val="Heading1"/>
        <w:spacing w:after="160" w:before="320"/>
      </w:pPr>
      <w:r>
        <w:t xml:space="preserve">4. What to take and not take from competitors</w:t>
      </w:r>
    </w:p>
    <w:p>
      <w:pPr>
        <w:pStyle w:val="Heading2"/>
        <w:spacing w:after="120" w:before="260"/>
      </w:pPr>
      <w:r>
        <w:t xml:space="preserve">4.1 From Bamboo — adopt</w:t>
      </w:r>
    </w:p>
    <w:p>
      <w:pPr>
        <w:pStyle w:val="ListParagraph"/>
        <w:numPr>
          <w:ilvl w:val="0"/>
          <w:numId w:val="1"/>
        </w:numPr>
        <w:spacing w:after="60"/>
      </w:pPr>
      <w:r>
        <w:t xml:space="preserve">Self-service 'Freeze Account' action reachable directly from a security alert, plus a visible fraud-desk contact — close the 3.1 gap.</w:t>
      </w:r>
    </w:p>
    <w:p>
      <w:pPr>
        <w:pStyle w:val="ListParagraph"/>
        <w:numPr>
          <w:ilvl w:val="0"/>
          <w:numId w:val="1"/>
        </w:numPr>
        <w:spacing w:after="60"/>
      </w:pPr>
      <w:r>
        <w:t xml:space="preserve">Security as a visible, named onboarding step (Bamboo's security-questions + passcode screens) — Kudimata already does a version of this (passcode + biometric toggle); worth keeping it prominent.</w:t>
      </w:r>
    </w:p>
    <w:p>
      <w:pPr>
        <w:pStyle w:val="ListParagraph"/>
        <w:numPr>
          <w:ilvl w:val="0"/>
          <w:numId w:val="1"/>
        </w:numPr>
        <w:spacing w:after="60"/>
      </w:pPr>
      <w:r>
        <w:t xml:space="preserve">Card-based product catalogue pattern (US Stocks / NG Stocks / Treasury Bills / Naira Savings cards) — good pattern for whenever more asset classes go live, provided each card shows risk/liquidity/fee/minimum up front (the thing Bamboo itself was marked down for skipping).</w:t>
      </w:r>
    </w:p>
    <w:p>
      <w:pPr>
        <w:pStyle w:val="Heading2"/>
        <w:spacing w:after="120" w:before="260"/>
      </w:pPr>
      <w:r>
        <w:t xml:space="preserve">4.2 From Bamboo — do NOT adopt</w:t>
      </w:r>
    </w:p>
    <w:p>
      <w:pPr>
        <w:pStyle w:val="ListParagraph"/>
        <w:numPr>
          <w:ilvl w:val="0"/>
          <w:numId w:val="1"/>
        </w:numPr>
        <w:spacing w:after="60"/>
      </w:pPr>
      <w:r>
        <w:t xml:space="preserve">Pulse — the live 'what others are buying/selling' feed. Flagged in the original research as herding pressure, directly opposed to the explain-first approach both research documents settled on for Kudimata.</w:t>
      </w:r>
    </w:p>
    <w:p>
      <w:pPr>
        <w:pStyle w:val="ListParagraph"/>
        <w:numPr>
          <w:ilvl w:val="0"/>
          <w:numId w:val="1"/>
        </w:numPr>
        <w:spacing w:after="60"/>
      </w:pPr>
      <w:r>
        <w:t xml:space="preserve">Burying fee/risk/FX/lock-in detail behind a tap or help article — put it on the product card itself.</w:t>
      </w:r>
    </w:p>
    <w:p>
      <w:pPr>
        <w:pStyle w:val="ListParagraph"/>
        <w:numPr>
          <w:ilvl w:val="0"/>
          <w:numId w:val="1"/>
        </w:numPr>
        <w:spacing w:after="60"/>
      </w:pPr>
      <w:r>
        <w:t xml:space="preserve">Treating KYC completion as if it were the whole AML program — it's the intake step only; ongoing monitoring, screening, and escalation still need to be built and confirmed against Kudimata's actual AML vendor/architecture.</w:t>
      </w:r>
    </w:p>
    <w:p>
      <w:pPr>
        <w:pStyle w:val="Heading2"/>
        <w:spacing w:after="120" w:before="260"/>
      </w:pPr>
      <w:r>
        <w:t xml:space="preserve">4.3 From Zedcrest</w:t>
      </w:r>
    </w:p>
    <w:p>
      <w:pPr>
        <w:pStyle w:val="ListParagraph"/>
        <w:numPr>
          <w:ilvl w:val="0"/>
          <w:numId w:val="1"/>
        </w:numPr>
        <w:spacing w:after="60"/>
      </w:pPr>
      <w:r>
        <w:t xml:space="preserve">Order-book display (bid/offer with units) sourced live from the exchange feed — a clean, simple pattern worth matching once market data is live.</w:t>
      </w:r>
    </w:p>
    <w:p>
      <w:pPr>
        <w:pStyle w:val="ListParagraph"/>
        <w:numPr>
          <w:ilvl w:val="0"/>
          <w:numId w:val="1"/>
        </w:numPr>
        <w:spacing w:after="60"/>
      </w:pPr>
      <w:r>
        <w:t xml:space="preserve">Corporate disclosures pulled directly from NGX and shown per-asset (Financials / Corporate Disclosures / Key Stats sections) — exactly the raw material the comprehension layer should sit on top of and explain in plain English, which Zedcrest itself does not do.</w:t>
      </w:r>
    </w:p>
    <w:p>
      <w:pPr>
        <w:pStyle w:val="Heading1"/>
        <w:spacing w:after="160" w:before="320"/>
      </w:pPr>
      <w:r>
        <w:t xml:space="preserve">5. Full feature master list</w:t>
      </w:r>
    </w:p>
    <w:p>
      <w:pPr>
        <w:spacing w:after="120"/>
      </w:pPr>
      <w:r>
        <w:t xml:space="preserve">Status reflects what the code shows today, not intent. Built = present and functional in the reviewed repos. Partial = scaffolded, modeled, or a stub exists but it's not complete/wired end-to-end. Missing = no trace found.</w:t>
      </w:r>
    </w:p>
    <w:p>
      <w:pPr>
        <w:pStyle w:val="Heading3"/>
        <w:spacing w:after="80" w:before="200"/>
      </w:pPr>
      <w:r>
        <w:t xml:space="preserve">5.1 Security &amp; account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Login-alert email on new device/location</w:t>
            </w:r>
          </w:p>
        </w:tc>
        <w:tc>
          <w:tcPr>
            <w:tcW w:type="pct" w:w="25%"/>
          </w:tcPr>
          <w:p>
            <w:r>
              <w:rPr>
                <w:b/>
                <w:bCs/>
                <w:color w:val="1F7A4D"/>
              </w:rPr>
              <w:t xml:space="preserve">Built</w:t>
            </w:r>
          </w:p>
        </w:tc>
        <w:tc>
          <w:tcPr>
            <w:tcW w:type="pct" w:w="50%"/>
          </w:tcPr>
          <w:p>
            <w:r>
              <w:t xml:space="preserve">Fires from auth.service.ts on login.</w:t>
            </w:r>
          </w:p>
        </w:tc>
      </w:tr>
      <w:tr>
        <w:tc>
          <w:tcPr>
            <w:tcW w:type="pct" w:w="25%"/>
          </w:tcPr>
          <w:p>
            <w:r>
              <w:t xml:space="preserve">Self-service account freeze</w:t>
            </w:r>
          </w:p>
        </w:tc>
        <w:tc>
          <w:tcPr>
            <w:tcW w:type="pct" w:w="25%"/>
          </w:tcPr>
          <w:p>
            <w:r>
              <w:rPr>
                <w:b/>
                <w:bCs/>
                <w:color w:val="B3261E"/>
              </w:rPr>
              <w:t xml:space="preserve">Missing</w:t>
            </w:r>
          </w:p>
        </w:tc>
        <w:tc>
          <w:tcPr>
            <w:tcW w:type="pct" w:w="50%"/>
          </w:tcPr>
          <w:p>
            <w:r>
              <w:t xml:space="preserve">Only admin-side suspend exists; no user-facing freeze action or API route.</w:t>
            </w:r>
          </w:p>
        </w:tc>
      </w:tr>
      <w:tr>
        <w:tc>
          <w:tcPr>
            <w:tcW w:type="pct" w:w="25%"/>
          </w:tcPr>
          <w:p>
            <w:r>
              <w:t xml:space="preserve">Fraud desk / support contact on alert email</w:t>
            </w:r>
          </w:p>
        </w:tc>
        <w:tc>
          <w:tcPr>
            <w:tcW w:type="pct" w:w="25%"/>
          </w:tcPr>
          <w:p>
            <w:r>
              <w:rPr>
                <w:b/>
                <w:bCs/>
                <w:color w:val="B3261E"/>
              </w:rPr>
              <w:t xml:space="preserve">Missing</w:t>
            </w:r>
          </w:p>
        </w:tc>
        <w:tc>
          <w:tcPr>
            <w:tcW w:type="pct" w:w="50%"/>
          </w:tcPr>
          <w:p>
            <w:r>
              <w:t xml:space="preserve">No equivalent contact flow found; add to the login-alert template.</w:t>
            </w:r>
          </w:p>
        </w:tc>
      </w:tr>
      <w:tr>
        <w:tc>
          <w:tcPr>
            <w:tcW w:type="pct" w:w="25%"/>
          </w:tcPr>
          <w:p>
            <w:r>
              <w:t xml:space="preserve">Two-factor authentication (step-up)</w:t>
            </w:r>
          </w:p>
        </w:tc>
        <w:tc>
          <w:tcPr>
            <w:tcW w:type="pct" w:w="25%"/>
          </w:tcPr>
          <w:p>
            <w:r>
              <w:rPr>
                <w:b/>
                <w:bCs/>
                <w:color w:val="B3261E"/>
              </w:rPr>
              <w:t xml:space="preserve">Missing</w:t>
            </w:r>
          </w:p>
        </w:tc>
        <w:tc>
          <w:tcPr>
            <w:tcW w:type="pct" w:w="50%"/>
          </w:tcPr>
          <w:p>
            <w:r>
              <w:t xml:space="preserve">Explicitly removed — was a UI toggle with nothing behind it.</w:t>
            </w:r>
          </w:p>
        </w:tc>
      </w:tr>
      <w:tr>
        <w:tc>
          <w:tcPr>
            <w:tcW w:type="pct" w:w="25%"/>
          </w:tcPr>
          <w:p>
            <w:r>
              <w:t xml:space="preserve">Biometric unlock (real OS-level)</w:t>
            </w:r>
          </w:p>
        </w:tc>
        <w:tc>
          <w:tcPr>
            <w:tcW w:type="pct" w:w="25%"/>
          </w:tcPr>
          <w:p>
            <w:r>
              <w:rPr>
                <w:b/>
                <w:bCs/>
                <w:color w:val="8A6D1D"/>
              </w:rPr>
              <w:t xml:space="preserve">Partial</w:t>
            </w:r>
          </w:p>
        </w:tc>
        <w:tc>
          <w:tcPr>
            <w:tcW w:type="pct" w:w="50%"/>
          </w:tcPr>
          <w:p>
            <w:r>
              <w:t xml:space="preserve">Client-side toggle only; marked as an open SEAM in code comments.</w:t>
            </w:r>
          </w:p>
        </w:tc>
      </w:tr>
      <w:tr>
        <w:tc>
          <w:tcPr>
            <w:tcW w:type="pct" w:w="25%"/>
          </w:tcPr>
          <w:p>
            <w:r>
              <w:t xml:space="preserve">Passcode protection</w:t>
            </w:r>
          </w:p>
        </w:tc>
        <w:tc>
          <w:tcPr>
            <w:tcW w:type="pct" w:w="25%"/>
          </w:tcPr>
          <w:p>
            <w:r>
              <w:rPr>
                <w:b/>
                <w:bCs/>
                <w:color w:val="1F7A4D"/>
              </w:rPr>
              <w:t xml:space="preserve">Built</w:t>
            </w:r>
          </w:p>
        </w:tc>
        <w:tc>
          <w:tcPr>
            <w:tcW w:type="pct" w:w="50%"/>
          </w:tcPr>
          <w:p>
            <w:r>
              <w:t xml:space="preserve">Salted hash, local verify-before-change flow.</w:t>
            </w:r>
          </w:p>
        </w:tc>
      </w:tr>
      <w:tr>
        <w:tc>
          <w:tcPr>
            <w:tcW w:type="pct" w:w="25%"/>
          </w:tcPr>
          <w:p>
            <w:r>
              <w:t xml:space="preserve">Certificate pinning / device integrity / tamper detection</w:t>
            </w:r>
          </w:p>
        </w:tc>
        <w:tc>
          <w:tcPr>
            <w:tcW w:type="pct" w:w="25%"/>
          </w:tcPr>
          <w:p>
            <w:r>
              <w:rPr>
                <w:b/>
                <w:bCs/>
                <w:color w:val="B3261E"/>
              </w:rPr>
              <w:t xml:space="preserve">Missing</w:t>
            </w:r>
          </w:p>
        </w:tc>
        <w:tc>
          <w:tcPr>
            <w:tcW w:type="pct" w:w="50%"/>
          </w:tcPr>
          <w:p>
            <w:r>
              <w:t xml:space="preserve">Flagged as needing a proper threat model.</w:t>
            </w:r>
          </w:p>
        </w:tc>
      </w:tr>
      <w:tr>
        <w:tc>
          <w:tcPr>
            <w:tcW w:type="pct" w:w="25%"/>
          </w:tcPr>
          <w:p>
            <w:r>
              <w:t xml:space="preserve">Session/audit trail</w:t>
            </w:r>
          </w:p>
        </w:tc>
        <w:tc>
          <w:tcPr>
            <w:tcW w:type="pct" w:w="25%"/>
          </w:tcPr>
          <w:p>
            <w:r>
              <w:rPr>
                <w:b/>
                <w:bCs/>
                <w:color w:val="1F7A4D"/>
              </w:rPr>
              <w:t xml:space="preserve">Built</w:t>
            </w:r>
          </w:p>
        </w:tc>
        <w:tc>
          <w:tcPr>
            <w:tcW w:type="pct" w:w="50%"/>
          </w:tcPr>
          <w:p>
            <w:r>
              <w:t xml:space="preserve">AuditLogEntry model + dashboard audit-log page.</w:t>
            </w:r>
          </w:p>
        </w:tc>
      </w:tr>
    </w:tbl>
    <w:p>
      <w:pPr>
        <w:pStyle w:val="Heading3"/>
        <w:spacing w:after="80" w:before="200"/>
      </w:pPr>
      <w:r>
        <w:t xml:space="preserve">5.2 Onboarding, KYC &amp; suitability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Phased KYC (BVN/NIN, ID, liveness, utility bill, next-of-kin)</w:t>
            </w:r>
          </w:p>
        </w:tc>
        <w:tc>
          <w:tcPr>
            <w:tcW w:type="pct" w:w="25%"/>
          </w:tcPr>
          <w:p>
            <w:r>
              <w:rPr>
                <w:b/>
                <w:bCs/>
                <w:color w:val="1F7A4D"/>
              </w:rPr>
              <w:t xml:space="preserve">Built</w:t>
            </w:r>
          </w:p>
        </w:tc>
        <w:tc>
          <w:tcPr>
            <w:tcW w:type="pct" w:w="50%"/>
          </w:tcPr>
          <w:p>
            <w:r>
              <w:t xml:space="preserve">Real draft-state machine, not a single form.</w:t>
            </w:r>
          </w:p>
        </w:tc>
      </w:tr>
      <w:tr>
        <w:tc>
          <w:tcPr>
            <w:tcW w:type="pct" w:w="25%"/>
          </w:tcPr>
          <w:p>
            <w:r>
              <w:t xml:space="preserve">Suitability questionnaire + legal acceptance</w:t>
            </w:r>
          </w:p>
        </w:tc>
        <w:tc>
          <w:tcPr>
            <w:tcW w:type="pct" w:w="25%"/>
          </w:tcPr>
          <w:p>
            <w:r>
              <w:rPr>
                <w:b/>
                <w:bCs/>
                <w:color w:val="1F7A4D"/>
              </w:rPr>
              <w:t xml:space="preserve">Built</w:t>
            </w:r>
          </w:p>
        </w:tc>
        <w:tc>
          <w:tcPr>
            <w:tcW w:type="pct" w:w="50%"/>
          </w:tcPr>
          <w:p>
            <w:r>
              <w:t xml:space="preserve">Dedicated flow and result screen exist.</w:t>
            </w:r>
          </w:p>
        </w:tc>
      </w:tr>
      <w:tr>
        <w:tc>
          <w:tcPr>
            <w:tcW w:type="pct" w:w="25%"/>
          </w:tcPr>
          <w:p>
            <w:r>
              <w:t xml:space="preserve">Legal document versioning + auditable acceptance</w:t>
            </w:r>
          </w:p>
        </w:tc>
        <w:tc>
          <w:tcPr>
            <w:tcW w:type="pct" w:w="25%"/>
          </w:tcPr>
          <w:p>
            <w:r>
              <w:rPr>
                <w:b/>
                <w:bCs/>
                <w:color w:val="1F7A4D"/>
              </w:rPr>
              <w:t xml:space="preserve">Built</w:t>
            </w:r>
          </w:p>
        </w:tc>
        <w:tc>
          <w:tcPr>
            <w:tcW w:type="pct" w:w="50%"/>
          </w:tcPr>
          <w:p>
            <w:r>
              <w:t xml:space="preserve">ComplianceAcknowledgement + LegalDocument models, not just a PDF link.</w:t>
            </w:r>
          </w:p>
        </w:tc>
      </w:tr>
      <w:tr>
        <w:tc>
          <w:tcPr>
            <w:tcW w:type="pct" w:w="25%"/>
          </w:tcPr>
          <w:p>
            <w:r>
              <w:t xml:space="preserve">Plain-English/Pidgin support in the trading app</w:t>
            </w:r>
          </w:p>
        </w:tc>
        <w:tc>
          <w:tcPr>
            <w:tcW w:type="pct" w:w="25%"/>
          </w:tcPr>
          <w:p>
            <w:r>
              <w:rPr>
                <w:b/>
                <w:bCs/>
                <w:color w:val="B3261E"/>
              </w:rPr>
              <w:t xml:space="preserve">Missing</w:t>
            </w:r>
          </w:p>
        </w:tc>
        <w:tc>
          <w:tcPr>
            <w:tcW w:type="pct" w:w="50%"/>
          </w:tcPr>
          <w:p>
            <w:r>
              <w:t xml:space="preserve">Exists only on the separate marketing site's quizzes, not this app.</w:t>
            </w:r>
          </w:p>
        </w:tc>
      </w:tr>
    </w:tbl>
    <w:p>
      <w:pPr>
        <w:pStyle w:val="Heading3"/>
        <w:spacing w:after="80" w:before="200"/>
      </w:pPr>
      <w:r>
        <w:t xml:space="preserve">5.3 Trading, portfolio &amp; markets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Market &amp; limit order types</w:t>
            </w:r>
          </w:p>
        </w:tc>
        <w:tc>
          <w:tcPr>
            <w:tcW w:type="pct" w:w="25%"/>
          </w:tcPr>
          <w:p>
            <w:r>
              <w:rPr>
                <w:b/>
                <w:bCs/>
                <w:color w:val="1F7A4D"/>
              </w:rPr>
              <w:t xml:space="preserve">Built</w:t>
            </w:r>
          </w:p>
        </w:tc>
        <w:tc>
          <w:tcPr>
            <w:tcW w:type="pct" w:w="50%"/>
          </w:tcPr>
          <w:p>
            <w:r>
              <w:t xml:space="preserve"/>
            </w:r>
          </w:p>
        </w:tc>
      </w:tr>
      <w:tr>
        <w:tc>
          <w:tcPr>
            <w:tcW w:type="pct" w:w="25%"/>
          </w:tcPr>
          <w:p>
            <w:r>
              <w:t xml:space="preserve">Buy by share count or by naira amount</w:t>
            </w:r>
          </w:p>
        </w:tc>
        <w:tc>
          <w:tcPr>
            <w:tcW w:type="pct" w:w="25%"/>
          </w:tcPr>
          <w:p>
            <w:r>
              <w:rPr>
                <w:b/>
                <w:bCs/>
                <w:color w:val="1F7A4D"/>
              </w:rPr>
              <w:t xml:space="preserve">Built</w:t>
            </w:r>
          </w:p>
        </w:tc>
        <w:tc>
          <w:tcPr>
            <w:tcW w:type="pct" w:w="50%"/>
          </w:tcPr>
          <w:p>
            <w:r>
              <w:t xml:space="preserve">Server computes units from amount when needed.</w:t>
            </w:r>
          </w:p>
        </w:tc>
      </w:tr>
      <w:tr>
        <w:tc>
          <w:tcPr>
            <w:tcW w:type="pct" w:w="25%"/>
          </w:tcPr>
          <w:p>
            <w:r>
              <w:t xml:space="preserve">Watchlist</w:t>
            </w:r>
          </w:p>
        </w:tc>
        <w:tc>
          <w:tcPr>
            <w:tcW w:type="pct" w:w="25%"/>
          </w:tcPr>
          <w:p>
            <w:r>
              <w:rPr>
                <w:b/>
                <w:bCs/>
                <w:color w:val="1F7A4D"/>
              </w:rPr>
              <w:t xml:space="preserve">Built</w:t>
            </w:r>
          </w:p>
        </w:tc>
        <w:tc>
          <w:tcPr>
            <w:tcW w:type="pct" w:w="50%"/>
          </w:tcPr>
          <w:p>
            <w:r>
              <w:t xml:space="preserve"/>
            </w:r>
          </w:p>
        </w:tc>
      </w:tr>
      <w:tr>
        <w:tc>
          <w:tcPr>
            <w:tcW w:type="pct" w:w="25%"/>
          </w:tcPr>
          <w:p>
            <w:r>
              <w:t xml:space="preserve">Multi-asset-class schema (NGX/US/ETF)</w:t>
            </w:r>
          </w:p>
        </w:tc>
        <w:tc>
          <w:tcPr>
            <w:tcW w:type="pct" w:w="25%"/>
          </w:tcPr>
          <w:p>
            <w:r>
              <w:rPr>
                <w:b/>
                <w:bCs/>
                <w:color w:val="8A6D1D"/>
              </w:rPr>
              <w:t xml:space="preserve">Partial</w:t>
            </w:r>
          </w:p>
        </w:tc>
        <w:tc>
          <w:tcPr>
            <w:tcW w:type="pct" w:w="50%"/>
          </w:tcPr>
          <w:p>
            <w:r>
              <w:t xml:space="preserve">Modeled in the enum; only NGX appears functionally wired.</w:t>
            </w:r>
          </w:p>
        </w:tc>
      </w:tr>
      <w:tr>
        <w:tc>
          <w:tcPr>
            <w:tcW w:type="pct" w:w="25%"/>
          </w:tcPr>
          <w:p>
            <w:r>
              <w:t xml:space="preserve">Multi-broker order routing / per-broker holdings</w:t>
            </w:r>
          </w:p>
        </w:tc>
        <w:tc>
          <w:tcPr>
            <w:tcW w:type="pct" w:w="25%"/>
          </w:tcPr>
          <w:p>
            <w:r>
              <w:rPr>
                <w:b/>
                <w:bCs/>
                <w:color w:val="B3261E"/>
              </w:rPr>
              <w:t xml:space="preserve">Missing</w:t>
            </w:r>
          </w:p>
        </w:tc>
        <w:tc>
          <w:tcPr>
            <w:tcW w:type="pct" w:w="50%"/>
          </w:tcPr>
          <w:p>
            <w:r>
              <w:t xml:space="preserve">No brokerId concept anywhere in Order/Holding.</w:t>
            </w:r>
          </w:p>
        </w:tc>
      </w:tr>
      <w:tr>
        <w:tc>
          <w:tcPr>
            <w:tcW w:type="pct" w:w="25%"/>
          </w:tcPr>
          <w:p>
            <w:r>
              <w:t xml:space="preserve">Settlement status (T+N) tracking</w:t>
            </w:r>
          </w:p>
        </w:tc>
        <w:tc>
          <w:tcPr>
            <w:tcW w:type="pct" w:w="25%"/>
          </w:tcPr>
          <w:p>
            <w:r>
              <w:rPr>
                <w:b/>
                <w:bCs/>
                <w:color w:val="B3261E"/>
              </w:rPr>
              <w:t xml:space="preserve">Missing</w:t>
            </w:r>
          </w:p>
        </w:tc>
        <w:tc>
          <w:tcPr>
            <w:tcW w:type="pct" w:w="50%"/>
          </w:tcPr>
          <w:p>
            <w:r>
              <w:t xml:space="preserve"/>
            </w:r>
          </w:p>
        </w:tc>
      </w:tr>
      <w:tr>
        <w:tc>
          <w:tcPr>
            <w:tcW w:type="pct" w:w="25%"/>
          </w:tcPr>
          <w:p>
            <w:r>
              <w:t xml:space="preserve">Corporate actions (dividends, rights issues)</w:t>
            </w:r>
          </w:p>
        </w:tc>
        <w:tc>
          <w:tcPr>
            <w:tcW w:type="pct" w:w="25%"/>
          </w:tcPr>
          <w:p>
            <w:r>
              <w:rPr>
                <w:b/>
                <w:bCs/>
                <w:color w:val="B3261E"/>
              </w:rPr>
              <w:t xml:space="preserve">Missing</w:t>
            </w:r>
          </w:p>
        </w:tc>
        <w:tc>
          <w:tcPr>
            <w:tcW w:type="pct" w:w="50%"/>
          </w:tcPr>
          <w:p>
            <w:r>
              <w:t xml:space="preserve"/>
            </w:r>
          </w:p>
        </w:tc>
      </w:tr>
      <w:tr>
        <w:tc>
          <w:tcPr>
            <w:tcW w:type="pct" w:w="25%"/>
          </w:tcPr>
          <w:p>
            <w:r>
              <w:t xml:space="preserve">IPO / rights-issue subscription (PrimaryOffer-style)</w:t>
            </w:r>
          </w:p>
        </w:tc>
        <w:tc>
          <w:tcPr>
            <w:tcW w:type="pct" w:w="25%"/>
          </w:tcPr>
          <w:p>
            <w:r>
              <w:rPr>
                <w:b/>
                <w:bCs/>
                <w:color w:val="B3261E"/>
              </w:rPr>
              <w:t xml:space="preserve">Missing</w:t>
            </w:r>
          </w:p>
        </w:tc>
        <w:tc>
          <w:tcPr>
            <w:tcW w:type="pct" w:w="50%"/>
          </w:tcPr>
          <w:p>
            <w:r>
              <w:t xml:space="preserve">No module wired to Chapel Hill Denham's or any issuer API.</w:t>
            </w:r>
          </w:p>
        </w:tc>
      </w:tr>
      <w:tr>
        <w:tc>
          <w:tcPr>
            <w:tcW w:type="pct" w:w="25%"/>
          </w:tcPr>
          <w:p>
            <w:r>
              <w:t xml:space="preserve">Portfolio intelligence (allocation, concentration, simulator)</w:t>
            </w:r>
          </w:p>
        </w:tc>
        <w:tc>
          <w:tcPr>
            <w:tcW w:type="pct" w:w="25%"/>
          </w:tcPr>
          <w:p>
            <w:r>
              <w:rPr>
                <w:b/>
                <w:bCs/>
                <w:color w:val="B3261E"/>
              </w:rPr>
              <w:t xml:space="preserve">Missing</w:t>
            </w:r>
          </w:p>
        </w:tc>
        <w:tc>
          <w:tcPr>
            <w:tcW w:type="pct" w:w="50%"/>
          </w:tcPr>
          <w:p>
            <w:r>
              <w:t xml:space="preserve"/>
            </w:r>
          </w:p>
        </w:tc>
      </w:tr>
      <w:tr>
        <w:tc>
          <w:tcPr>
            <w:tcW w:type="pct" w:w="25%"/>
          </w:tcPr>
          <w:p>
            <w:r>
              <w:t xml:space="preserve">Fee/risk/liquidity/FX fields on products</w:t>
            </w:r>
          </w:p>
        </w:tc>
        <w:tc>
          <w:tcPr>
            <w:tcW w:type="pct" w:w="25%"/>
          </w:tcPr>
          <w:p>
            <w:r>
              <w:rPr>
                <w:b/>
                <w:bCs/>
                <w:color w:val="B3261E"/>
              </w:rPr>
              <w:t xml:space="preserve">Missing</w:t>
            </w:r>
          </w:p>
        </w:tc>
        <w:tc>
          <w:tcPr>
            <w:tcW w:type="pct" w:w="50%"/>
          </w:tcPr>
          <w:p>
            <w:r>
              <w:t xml:space="preserve">Asset model has no such fields yet.</w:t>
            </w:r>
          </w:p>
        </w:tc>
      </w:tr>
    </w:tbl>
    <w:p>
      <w:pPr>
        <w:pStyle w:val="Heading3"/>
        <w:spacing w:after="80" w:before="200"/>
      </w:pPr>
      <w:r>
        <w:t xml:space="preserve">5.4 Wallet &amp; money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Fund / withdraw flows</w:t>
            </w:r>
          </w:p>
        </w:tc>
        <w:tc>
          <w:tcPr>
            <w:tcW w:type="pct" w:w="25%"/>
          </w:tcPr>
          <w:p>
            <w:r>
              <w:rPr>
                <w:b/>
                <w:bCs/>
                <w:color w:val="1F7A4D"/>
              </w:rPr>
              <w:t xml:space="preserve">Built</w:t>
            </w:r>
          </w:p>
        </w:tc>
        <w:tc>
          <w:tcPr>
            <w:tcW w:type="pct" w:w="50%"/>
          </w:tcPr>
          <w:p>
            <w:r>
              <w:t xml:space="preserve"/>
            </w:r>
          </w:p>
        </w:tc>
      </w:tr>
      <w:tr>
        <w:tc>
          <w:tcPr>
            <w:tcW w:type="pct" w:w="25%"/>
          </w:tcPr>
          <w:p>
            <w:r>
              <w:t xml:space="preserve">Bank account linking</w:t>
            </w:r>
          </w:p>
        </w:tc>
        <w:tc>
          <w:tcPr>
            <w:tcW w:type="pct" w:w="25%"/>
          </w:tcPr>
          <w:p>
            <w:r>
              <w:rPr>
                <w:b/>
                <w:bCs/>
                <w:color w:val="1F7A4D"/>
              </w:rPr>
              <w:t xml:space="preserve">Built</w:t>
            </w:r>
          </w:p>
        </w:tc>
        <w:tc>
          <w:tcPr>
            <w:tcW w:type="pct" w:w="50%"/>
          </w:tcPr>
          <w:p>
            <w:r>
              <w:t xml:space="preserve"/>
            </w:r>
          </w:p>
        </w:tc>
      </w:tr>
      <w:tr>
        <w:tc>
          <w:tcPr>
            <w:tcW w:type="pct" w:w="25%"/>
          </w:tcPr>
          <w:p>
            <w:r>
              <w:t xml:space="preserve">Multi-currency wallet (USD/NGN split)</w:t>
            </w:r>
          </w:p>
        </w:tc>
        <w:tc>
          <w:tcPr>
            <w:tcW w:type="pct" w:w="25%"/>
          </w:tcPr>
          <w:p>
            <w:r>
              <w:rPr>
                <w:b/>
                <w:bCs/>
                <w:color w:val="B3261E"/>
              </w:rPr>
              <w:t xml:space="preserve">Missing</w:t>
            </w:r>
          </w:p>
        </w:tc>
        <w:tc>
          <w:tcPr>
            <w:tcW w:type="pct" w:w="50%"/>
          </w:tcPr>
          <w:p>
            <w:r>
              <w:t xml:space="preserve">Single kobo-denominated ledger; 'convert' transaction type exists but unused.</w:t>
            </w:r>
          </w:p>
        </w:tc>
      </w:tr>
      <w:tr>
        <w:tc>
          <w:tcPr>
            <w:tcW w:type="pct" w:w="25%"/>
          </w:tcPr>
          <w:p>
            <w:r>
              <w:t xml:space="preserve">Centralized wallet architecture (vs. broker-held cash)</w:t>
            </w:r>
          </w:p>
        </w:tc>
        <w:tc>
          <w:tcPr>
            <w:tcW w:type="pct" w:w="25%"/>
          </w:tcPr>
          <w:p>
            <w:r>
              <w:rPr>
                <w:b/>
                <w:bCs/>
                <w:color w:val="8A6D1D"/>
              </w:rPr>
              <w:t xml:space="preserve">Partial</w:t>
            </w:r>
          </w:p>
        </w:tc>
        <w:tc>
          <w:tcPr>
            <w:tcW w:type="pct" w:w="50%"/>
          </w:tcPr>
          <w:p>
            <w:r>
              <w:t xml:space="preserve">A wallet exists; not yet validated against the bank-partner/segregation design discussed.</w:t>
            </w:r>
          </w:p>
        </w:tc>
      </w:tr>
    </w:tbl>
    <w:p>
      <w:pPr>
        <w:pStyle w:val="Heading3"/>
        <w:spacing w:after="80" w:before="200"/>
      </w:pPr>
      <w:r>
        <w:t xml:space="preserve">5.5 AI / comprehension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'Explain this investment' feature</w:t>
            </w:r>
          </w:p>
        </w:tc>
        <w:tc>
          <w:tcPr>
            <w:tcW w:type="pct" w:w="25%"/>
          </w:tcPr>
          <w:p>
            <w:r>
              <w:rPr>
                <w:b/>
                <w:bCs/>
                <w:color w:val="B3261E"/>
              </w:rPr>
              <w:t xml:space="preserve">Missing</w:t>
            </w:r>
          </w:p>
        </w:tc>
        <w:tc>
          <w:tcPr>
            <w:tcW w:type="pct" w:w="50%"/>
          </w:tcPr>
          <w:p>
            <w:r>
              <w:t xml:space="preserve"/>
            </w:r>
          </w:p>
        </w:tc>
      </w:tr>
      <w:tr>
        <w:tc>
          <w:tcPr>
            <w:tcW w:type="pct" w:w="25%"/>
          </w:tcPr>
          <w:p>
            <w:r>
              <w:t xml:space="preserve">Document/disclosure comprehension (filings, rights issues)</w:t>
            </w:r>
          </w:p>
        </w:tc>
        <w:tc>
          <w:tcPr>
            <w:tcW w:type="pct" w:w="25%"/>
          </w:tcPr>
          <w:p>
            <w:r>
              <w:rPr>
                <w:b/>
                <w:bCs/>
                <w:color w:val="B3261E"/>
              </w:rPr>
              <w:t xml:space="preserve">Missing</w:t>
            </w:r>
          </w:p>
        </w:tc>
        <w:tc>
          <w:tcPr>
            <w:tcW w:type="pct" w:w="50%"/>
          </w:tcPr>
          <w:p>
            <w:r>
              <w:t xml:space="preserve"/>
            </w:r>
          </w:p>
        </w:tc>
      </w:tr>
      <w:tr>
        <w:tc>
          <w:tcPr>
            <w:tcW w:type="pct" w:w="25%"/>
          </w:tcPr>
          <w:p>
            <w:r>
              <w:t xml:space="preserve">Personalized portfolio summaries</w:t>
            </w:r>
          </w:p>
        </w:tc>
        <w:tc>
          <w:tcPr>
            <w:tcW w:type="pct" w:w="25%"/>
          </w:tcPr>
          <w:p>
            <w:r>
              <w:rPr>
                <w:b/>
                <w:bCs/>
                <w:color w:val="B3261E"/>
              </w:rPr>
              <w:t xml:space="preserve">Missing</w:t>
            </w:r>
          </w:p>
        </w:tc>
        <w:tc>
          <w:tcPr>
            <w:tcW w:type="pct" w:w="50%"/>
          </w:tcPr>
          <w:p>
            <w:r>
              <w:t xml:space="preserve"/>
            </w:r>
          </w:p>
        </w:tc>
      </w:tr>
      <w:tr>
        <w:tc>
          <w:tcPr>
            <w:tcW w:type="pct" w:w="25%"/>
          </w:tcPr>
          <w:p>
            <w:r>
              <w:t xml:space="preserve">Research digests</w:t>
            </w:r>
          </w:p>
        </w:tc>
        <w:tc>
          <w:tcPr>
            <w:tcW w:type="pct" w:w="25%"/>
          </w:tcPr>
          <w:p>
            <w:r>
              <w:rPr>
                <w:b/>
                <w:bCs/>
                <w:color w:val="B3261E"/>
              </w:rPr>
              <w:t xml:space="preserve">Missing</w:t>
            </w:r>
          </w:p>
        </w:tc>
        <w:tc>
          <w:tcPr>
            <w:tcW w:type="pct" w:w="50%"/>
          </w:tcPr>
          <w:p>
            <w:r>
              <w:t xml:space="preserve"/>
            </w:r>
          </w:p>
        </w:tc>
      </w:tr>
      <w:tr>
        <w:tc>
          <w:tcPr>
            <w:tcW w:type="pct" w:w="25%"/>
          </w:tcPr>
          <w:p>
            <w:r>
              <w:t xml:space="preserve">Nudges</w:t>
            </w:r>
          </w:p>
        </w:tc>
        <w:tc>
          <w:tcPr>
            <w:tcW w:type="pct" w:w="25%"/>
          </w:tcPr>
          <w:p>
            <w:r>
              <w:rPr>
                <w:b/>
                <w:bCs/>
                <w:color w:val="B3261E"/>
              </w:rPr>
              <w:t xml:space="preserve">Missing</w:t>
            </w:r>
          </w:p>
        </w:tc>
        <w:tc>
          <w:tcPr>
            <w:tcW w:type="pct" w:w="50%"/>
          </w:tcPr>
          <w:p>
            <w:r>
              <w:t xml:space="preserve"/>
            </w:r>
          </w:p>
        </w:tc>
      </w:tr>
      <w:tr>
        <w:tc>
          <w:tcPr>
            <w:tcW w:type="pct" w:w="25%"/>
          </w:tcPr>
          <w:p>
            <w:r>
              <w:t xml:space="preserve">AI-assisted KYC edge-case handling</w:t>
            </w:r>
          </w:p>
        </w:tc>
        <w:tc>
          <w:tcPr>
            <w:tcW w:type="pct" w:w="25%"/>
          </w:tcPr>
          <w:p>
            <w:r>
              <w:rPr>
                <w:b/>
                <w:bCs/>
                <w:color w:val="B3261E"/>
              </w:rPr>
              <w:t xml:space="preserve">Missing</w:t>
            </w:r>
          </w:p>
        </w:tc>
        <w:tc>
          <w:tcPr>
            <w:tcW w:type="pct" w:w="50%"/>
          </w:tcPr>
          <w:p>
            <w:r>
              <w:t xml:space="preserve">KYC vendor decision is currently binary (approved/rejected/no_decision).</w:t>
            </w:r>
          </w:p>
        </w:tc>
      </w:tr>
      <w:tr>
        <w:tc>
          <w:tcPr>
            <w:tcW w:type="pct" w:w="25%"/>
          </w:tcPr>
          <w:p>
            <w:r>
              <w:t xml:space="preserve">Language switching (English/Pidgin) in-app</w:t>
            </w:r>
          </w:p>
        </w:tc>
        <w:tc>
          <w:tcPr>
            <w:tcW w:type="pct" w:w="25%"/>
          </w:tcPr>
          <w:p>
            <w:r>
              <w:rPr>
                <w:b/>
                <w:bCs/>
                <w:color w:val="B3261E"/>
              </w:rPr>
              <w:t xml:space="preserve">Missing</w:t>
            </w:r>
          </w:p>
        </w:tc>
        <w:tc>
          <w:tcPr>
            <w:tcW w:type="pct" w:w="50%"/>
          </w:tcPr>
          <w:p>
            <w:r>
              <w:t xml:space="preserve">No localization scaffolding found anywhere in the mobile app.</w:t>
            </w:r>
          </w:p>
        </w:tc>
      </w:tr>
      <w:tr>
        <w:tc>
          <w:tcPr>
            <w:tcW w:type="pct" w:w="25%"/>
          </w:tcPr>
          <w:p>
            <w:r>
              <w:t xml:space="preserve">Designed HTML email templates</w:t>
            </w:r>
          </w:p>
        </w:tc>
        <w:tc>
          <w:tcPr>
            <w:tcW w:type="pct" w:w="25%"/>
          </w:tcPr>
          <w:p>
            <w:r>
              <w:rPr>
                <w:b/>
                <w:bCs/>
                <w:color w:val="B3261E"/>
              </w:rPr>
              <w:t xml:space="preserve">Missing</w:t>
            </w:r>
          </w:p>
        </w:tc>
        <w:tc>
          <w:tcPr>
            <w:tcW w:type="pct" w:w="50%"/>
          </w:tcPr>
          <w:p>
            <w:r>
              <w:t xml:space="preserve">Sending is wired up (8 templates fire); no visual template exists yet — see 6.5.</w:t>
            </w:r>
          </w:p>
        </w:tc>
      </w:tr>
    </w:tbl>
    <w:p>
      <w:pPr>
        <w:pStyle w:val="Heading3"/>
        <w:spacing w:after="80" w:before="200"/>
      </w:pPr>
      <w:r>
        <w:t xml:space="preserve">5.6 Engagement &amp;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Referral programme</w:t>
            </w:r>
          </w:p>
        </w:tc>
        <w:tc>
          <w:tcPr>
            <w:tcW w:type="pct" w:w="25%"/>
          </w:tcPr>
          <w:p>
            <w:r>
              <w:rPr>
                <w:b/>
                <w:bCs/>
                <w:color w:val="1F7A4D"/>
              </w:rPr>
              <w:t xml:space="preserve">Built</w:t>
            </w:r>
          </w:p>
        </w:tc>
        <w:tc>
          <w:tcPr>
            <w:tcW w:type="pct" w:w="50%"/>
          </w:tcPr>
          <w:p>
            <w:r>
              <w:t xml:space="preserve"/>
            </w:r>
          </w:p>
        </w:tc>
      </w:tr>
      <w:tr>
        <w:tc>
          <w:tcPr>
            <w:tcW w:type="pct" w:w="25%"/>
          </w:tcPr>
          <w:p>
            <w:r>
              <w:t xml:space="preserve">Statements</w:t>
            </w:r>
          </w:p>
        </w:tc>
        <w:tc>
          <w:tcPr>
            <w:tcW w:type="pct" w:w="25%"/>
          </w:tcPr>
          <w:p>
            <w:r>
              <w:rPr>
                <w:b/>
                <w:bCs/>
                <w:color w:val="1F7A4D"/>
              </w:rPr>
              <w:t xml:space="preserve">Built</w:t>
            </w:r>
          </w:p>
        </w:tc>
        <w:tc>
          <w:tcPr>
            <w:tcW w:type="pct" w:w="50%"/>
          </w:tcPr>
          <w:p>
            <w:r>
              <w:t xml:space="preserve"/>
            </w:r>
          </w:p>
        </w:tc>
      </w:tr>
      <w:tr>
        <w:tc>
          <w:tcPr>
            <w:tcW w:type="pct" w:w="25%"/>
          </w:tcPr>
          <w:p>
            <w:r>
              <w:t xml:space="preserve">Notification preferences</w:t>
            </w:r>
          </w:p>
        </w:tc>
        <w:tc>
          <w:tcPr>
            <w:tcW w:type="pct" w:w="25%"/>
          </w:tcPr>
          <w:p>
            <w:r>
              <w:rPr>
                <w:b/>
                <w:bCs/>
                <w:color w:val="1F7A4D"/>
              </w:rPr>
              <w:t xml:space="preserve">Built</w:t>
            </w:r>
          </w:p>
        </w:tc>
        <w:tc>
          <w:tcPr>
            <w:tcW w:type="pct" w:w="50%"/>
          </w:tcPr>
          <w:p>
            <w:r>
              <w:t xml:space="preserve"/>
            </w:r>
          </w:p>
        </w:tc>
      </w:tr>
      <w:tr>
        <w:tc>
          <w:tcPr>
            <w:tcW w:type="pct" w:w="25%"/>
          </w:tcPr>
          <w:p>
            <w:r>
              <w:t xml:space="preserve">Help/support &amp; FAQ</w:t>
            </w:r>
          </w:p>
        </w:tc>
        <w:tc>
          <w:tcPr>
            <w:tcW w:type="pct" w:w="25%"/>
          </w:tcPr>
          <w:p>
            <w:r>
              <w:rPr>
                <w:b/>
                <w:bCs/>
                <w:color w:val="1F7A4D"/>
              </w:rPr>
              <w:t xml:space="preserve">Built</w:t>
            </w:r>
          </w:p>
        </w:tc>
        <w:tc>
          <w:tcPr>
            <w:tcW w:type="pct" w:w="50%"/>
          </w:tcPr>
          <w:p>
            <w:r>
              <w:t xml:space="preserve"/>
            </w:r>
          </w:p>
        </w:tc>
      </w:tr>
      <w:tr>
        <w:tc>
          <w:tcPr>
            <w:tcW w:type="pct" w:w="25%"/>
          </w:tcPr>
          <w:p>
            <w:r>
              <w:t xml:space="preserve">Social/community trade-following (Bamboo Pulse-style)</w:t>
            </w:r>
          </w:p>
        </w:tc>
        <w:tc>
          <w:tcPr>
            <w:tcW w:type="pct" w:w="25%"/>
          </w:tcPr>
          <w:p>
            <w:r>
              <w:rPr>
                <w:b/>
                <w:bCs/>
                <w:color w:val="B3261E"/>
              </w:rPr>
              <w:t xml:space="preserve">Missing</w:t>
            </w:r>
          </w:p>
        </w:tc>
        <w:tc>
          <w:tcPr>
            <w:tcW w:type="pct" w:w="50%"/>
          </w:tcPr>
          <w:p>
            <w:r>
              <w:t xml:space="preserve">Recommended NOT to build — see 4.2.</w:t>
            </w:r>
          </w:p>
        </w:tc>
      </w:tr>
    </w:tbl>
    <w:p>
      <w:pPr>
        <w:pStyle w:val="Heading3"/>
        <w:spacing w:after="80" w:before="200"/>
      </w:pPr>
      <w:r>
        <w:t xml:space="preserve">5.7 Admin &amp;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pct" w:w="25%"/>
            <w:shd w:fill="1B3A2B" w:val="clear"/>
          </w:tcPr>
          <w:p>
            <w:r>
              <w:rPr>
                <w:b/>
                <w:bCs/>
                <w:color w:val="FFFFFF"/>
              </w:rPr>
              <w:t xml:space="preserve">Feature</w:t>
            </w:r>
          </w:p>
        </w:tc>
        <w:tc>
          <w:tcPr>
            <w:tcW w:type="pct" w:w="25%"/>
            <w:shd w:fill="1B3A2B" w:val="clear"/>
          </w:tcPr>
          <w:p>
            <w:r>
              <w:rPr>
                <w:b/>
                <w:bCs/>
                <w:color w:val="FFFFFF"/>
              </w:rPr>
              <w:t xml:space="preserve">Status</w:t>
            </w:r>
          </w:p>
        </w:tc>
        <w:tc>
          <w:tcPr>
            <w:tcW w:type="pct" w:w="50%"/>
            <w:shd w:fill="1B3A2B" w:val="clear"/>
          </w:tcPr>
          <w:p>
            <w:r>
              <w:rPr>
                <w:b/>
                <w:bCs/>
                <w:color w:val="FFFFFF"/>
              </w:rPr>
              <w:t xml:space="preserve">Notes</w:t>
            </w:r>
          </w:p>
        </w:tc>
      </w:tr>
      <w:tr>
        <w:tc>
          <w:tcPr>
            <w:tcW w:type="pct" w:w="25%"/>
          </w:tcPr>
          <w:p>
            <w:r>
              <w:t xml:space="preserve">Staff RBAC (super_admin/compliance/KYC reviewer/support)</w:t>
            </w:r>
          </w:p>
        </w:tc>
        <w:tc>
          <w:tcPr>
            <w:tcW w:type="pct" w:w="25%"/>
          </w:tcPr>
          <w:p>
            <w:r>
              <w:rPr>
                <w:b/>
                <w:bCs/>
                <w:color w:val="1F7A4D"/>
              </w:rPr>
              <w:t xml:space="preserve">Built</w:t>
            </w:r>
          </w:p>
        </w:tc>
        <w:tc>
          <w:tcPr>
            <w:tcW w:type="pct" w:w="50%"/>
          </w:tcPr>
          <w:p>
            <w:r>
              <w:t xml:space="preserve"/>
            </w:r>
          </w:p>
        </w:tc>
      </w:tr>
      <w:tr>
        <w:tc>
          <w:tcPr>
            <w:tcW w:type="pct" w:w="25%"/>
          </w:tcPr>
          <w:p>
            <w:r>
              <w:t xml:space="preserve">KYC review queue</w:t>
            </w:r>
          </w:p>
        </w:tc>
        <w:tc>
          <w:tcPr>
            <w:tcW w:type="pct" w:w="25%"/>
          </w:tcPr>
          <w:p>
            <w:r>
              <w:rPr>
                <w:b/>
                <w:bCs/>
                <w:color w:val="1F7A4D"/>
              </w:rPr>
              <w:t xml:space="preserve">Built</w:t>
            </w:r>
          </w:p>
        </w:tc>
        <w:tc>
          <w:tcPr>
            <w:tcW w:type="pct" w:w="50%"/>
          </w:tcPr>
          <w:p>
            <w:r>
              <w:t xml:space="preserve"/>
            </w:r>
          </w:p>
        </w:tc>
      </w:tr>
      <w:tr>
        <w:tc>
          <w:tcPr>
            <w:tcW w:type="pct" w:w="25%"/>
          </w:tcPr>
          <w:p>
            <w:r>
              <w:t xml:space="preserve">Transaction &amp; order oversight</w:t>
            </w:r>
          </w:p>
        </w:tc>
        <w:tc>
          <w:tcPr>
            <w:tcW w:type="pct" w:w="25%"/>
          </w:tcPr>
          <w:p>
            <w:r>
              <w:rPr>
                <w:b/>
                <w:bCs/>
                <w:color w:val="1F7A4D"/>
              </w:rPr>
              <w:t xml:space="preserve">Built</w:t>
            </w:r>
          </w:p>
        </w:tc>
        <w:tc>
          <w:tcPr>
            <w:tcW w:type="pct" w:w="50%"/>
          </w:tcPr>
          <w:p>
            <w:r>
              <w:t xml:space="preserve"/>
            </w:r>
          </w:p>
        </w:tc>
      </w:tr>
      <w:tr>
        <w:tc>
          <w:tcPr>
            <w:tcW w:type="pct" w:w="25%"/>
          </w:tcPr>
          <w:p>
            <w:r>
              <w:t xml:space="preserve">Audit log</w:t>
            </w:r>
          </w:p>
        </w:tc>
        <w:tc>
          <w:tcPr>
            <w:tcW w:type="pct" w:w="25%"/>
          </w:tcPr>
          <w:p>
            <w:r>
              <w:rPr>
                <w:b/>
                <w:bCs/>
                <w:color w:val="1F7A4D"/>
              </w:rPr>
              <w:t xml:space="preserve">Built</w:t>
            </w:r>
          </w:p>
        </w:tc>
        <w:tc>
          <w:tcPr>
            <w:tcW w:type="pct" w:w="50%"/>
          </w:tcPr>
          <w:p>
            <w:r>
              <w:t xml:space="preserve"/>
            </w:r>
          </w:p>
        </w:tc>
      </w:tr>
      <w:tr>
        <w:tc>
          <w:tcPr>
            <w:tcW w:type="pct" w:w="25%"/>
          </w:tcPr>
          <w:p>
            <w:r>
              <w:t xml:space="preserve">Self-service user freeze visible to compliance ops</w:t>
            </w:r>
          </w:p>
        </w:tc>
        <w:tc>
          <w:tcPr>
            <w:tcW w:type="pct" w:w="25%"/>
          </w:tcPr>
          <w:p>
            <w:r>
              <w:rPr>
                <w:b/>
                <w:bCs/>
                <w:color w:val="8A6D1D"/>
              </w:rPr>
              <w:t xml:space="preserve">Partial</w:t>
            </w:r>
          </w:p>
        </w:tc>
        <w:tc>
          <w:tcPr>
            <w:tcW w:type="pct" w:w="50%"/>
          </w:tcPr>
          <w:p>
            <w:r>
              <w:t xml:space="preserve">Suspend endpoint exists; no session-revocation side effect noted in the API docs — a suspended user's existing session isn't automatically killed.</w:t>
            </w:r>
          </w:p>
        </w:tc>
      </w:tr>
    </w:tbl>
    <w:p>
      <w:pPr>
        <w:pStyle w:val="Heading1"/>
        <w:spacing w:after="160" w:before="320"/>
      </w:pPr>
      <w:r>
        <w:t xml:space="preserve">6. UI/UX — design direction brief</w:t>
      </w:r>
    </w:p>
    <w:p>
      <w:pPr>
        <w:spacing w:after="120"/>
      </w:pPr>
      <w:r>
        <w:t xml:space="preserve">This section is written to be handed directly to a designer (Claude Design or otherwise) as a brief, not just a note-to-self. It's grounded in the actual mobile codebase — the design tokens and widget library — not in screenshots, since the screenshots in this review are all competitor recon (Bamboo, Zedcrest), not Kudimata's own app.</w:t>
      </w:r>
    </w:p>
    <w:p>
      <w:pPr>
        <w:pStyle w:val="Heading2"/>
        <w:spacing w:after="120" w:before="260"/>
      </w:pPr>
      <w:r>
        <w:t xml:space="preserve">6.1 What the current design system actually is, in its own words</w:t>
      </w:r>
    </w:p>
    <w:p>
      <w:pPr>
        <w:spacing w:after="120"/>
      </w:pPr>
      <w:r>
        <w:t xml:space="preserve">The token file's own header comment names the current system directly: 'Editorial mono: white + ink, colour only where it carries meaning.' In practice that means:</w:t>
      </w:r>
    </w:p>
    <w:p>
      <w:pPr>
        <w:pStyle w:val="ListParagraph"/>
        <w:numPr>
          <w:ilvl w:val="0"/>
          <w:numId w:val="1"/>
        </w:numPr>
        <w:spacing w:after="60"/>
      </w:pPr>
      <w:r>
        <w:t xml:space="preserve">A near-monochrome palette — paper/background, three tiers of 'ink' (text), hairline dividers — with colour rationed to a single brand-purple accent, plus green/red for gains and losses.</w:t>
      </w:r>
    </w:p>
    <w:p>
      <w:pPr>
        <w:pStyle w:val="ListParagraph"/>
        <w:numPr>
          <w:ilvl w:val="0"/>
          <w:numId w:val="1"/>
        </w:numPr>
        <w:spacing w:after="60"/>
      </w:pPr>
      <w:r>
        <w:t xml:space="preserve">Zero illustration anywhere in the codebase. There is no illustration asset folder, no Image.asset/SvgPicture usage for artwork of any kind — only the wordmark (kudimata-mark.svg) and a plain line-icon set (k_icon.dart).</w:t>
      </w:r>
    </w:p>
    <w:p>
      <w:pPr>
        <w:pStyle w:val="ListParagraph"/>
        <w:numPr>
          <w:ilvl w:val="0"/>
          <w:numId w:val="1"/>
        </w:numPr>
        <w:spacing w:after="60"/>
      </w:pPr>
      <w:r>
        <w:t xml:space="preserve">Every screen is built from the same restrained set of primitives: cards, rows, dividers, buttons, form inputs, charts. No characterful visual moments anywhere — nothing that isn't data, a control, or plain text.</w:t>
      </w:r>
    </w:p>
    <w:p>
      <w:pPr>
        <w:spacing w:after="120"/>
      </w:pPr>
      <w:r>
        <w:t xml:space="preserve">This is a deliberate, coherent design system — it isn't broken or half-built. But it's a system built for restraint and density (closer to a banking/compliance tool), and that is precisely what reads as 'hard, strict, formal' rather than warm and human. Fixing this is a direction change, not a bug fix — worth saying plainly so it's budgeted and briefed as one.</w:t>
      </w:r>
    </w:p>
    <w:p>
      <w:pPr>
        <w:pStyle w:val="Heading2"/>
        <w:spacing w:after="120" w:before="260"/>
      </w:pPr>
      <w:r>
        <w:t xml:space="preserve">6.2 The direction to brief a designer on</w:t>
      </w:r>
    </w:p>
    <w:p>
      <w:pPr>
        <w:spacing w:after="120"/>
      </w:pPr>
      <w:r>
        <w:t xml:space="preserve">Move from 'editorial mono, data first' toward something that still respects the seriousness of money, but feels made for a first-time Nigerian investor rather than for a compliance officer. Concretely:</w:t>
      </w:r>
    </w:p>
    <w:p>
      <w:pPr>
        <w:pStyle w:val="ListParagraph"/>
        <w:numPr>
          <w:ilvl w:val="0"/>
          <w:numId w:val="1"/>
        </w:numPr>
        <w:spacing w:after="60"/>
      </w:pPr>
      <w:r>
        <w:t xml:space="preserve">Introduce real illustration as a first-class part of the system — not stock icons, not emoji, actual custom illustration or character art for empty states, onboarding, milestones (first trade, first dividend, KYC approved), and the comprehension/'Explain this' feature. This is the single biggest lever: right now there is not one illustrated moment anywhere in the app.</w:t>
      </w:r>
    </w:p>
    <w:p>
      <w:pPr>
        <w:pStyle w:val="ListParagraph"/>
        <w:numPr>
          <w:ilvl w:val="0"/>
          <w:numId w:val="1"/>
        </w:numPr>
        <w:spacing w:after="60"/>
      </w:pPr>
      <w:r>
        <w:t xml:space="preserve">Give the palette room to breathe. A single rationed purple accent on near-monochrome reads corporate; a considered secondary palette (warm accent tones for positive moments, distinct from the strict gain/loss green/red) would soften the whole experience without undermining legibility.</w:t>
      </w:r>
    </w:p>
    <w:p>
      <w:pPr>
        <w:pStyle w:val="ListParagraph"/>
        <w:numPr>
          <w:ilvl w:val="0"/>
          <w:numId w:val="1"/>
        </w:numPr>
        <w:spacing w:after="60"/>
      </w:pPr>
      <w:r>
        <w:t xml:space="preserve">Vary the visual rhythm. Every screen currently resolves to cards-in-a-list. Hero moments (home wealth summary, KYC-approved, first successful trade, 'Explain this investment' opening state) should look and feel distinct from routine list/table screens — different layout, imagery, and pacing, not the same card treatment turned up in size.</w:t>
      </w:r>
    </w:p>
    <w:p>
      <w:pPr>
        <w:pStyle w:val="ListParagraph"/>
        <w:numPr>
          <w:ilvl w:val="0"/>
          <w:numId w:val="1"/>
        </w:numPr>
        <w:spacing w:after="60"/>
      </w:pPr>
      <w:r>
        <w:t xml:space="preserve">Typography with personality. An editorial-mono system typically leans on a single restrained grotesk/sans at a narrow weight range. A distinctive display face for headlines and hero numbers (wealth total, portfolio return) paired with a calm workhorse font for data would do a lot of the 'this feels designed, not templated' work on its own.</w:t>
      </w:r>
    </w:p>
    <w:p>
      <w:pPr>
        <w:pStyle w:val="ListParagraph"/>
        <w:numPr>
          <w:ilvl w:val="0"/>
          <w:numId w:val="1"/>
        </w:numPr>
        <w:spacing w:after="60"/>
      </w:pPr>
      <w:r>
        <w:t xml:space="preserve">Motion and micro-interaction. Nothing in the current build suggests animated transitions or delight moments (a confetti/settle animation on a completed trade, a gentle reveal on the comprehension panel opening). Small, tasteful motion is cheap relative to how much warmth it adds.</w:t>
      </w:r>
    </w:p>
    <w:p>
      <w:pPr>
        <w:pStyle w:val="ListParagraph"/>
        <w:numPr>
          <w:ilvl w:val="0"/>
          <w:numId w:val="1"/>
        </w:numPr>
        <w:spacing w:after="60"/>
      </w:pPr>
      <w:r>
        <w:t xml:space="preserve">Rethink the product/asset card specifically — this is where the 'hard and formal' feeling is most concentrated today, and it's also where the new risk/fee/liquidity transparency data (see 5.3) has to live. Don't solve that by adding more text rows to the existing card; solve it with a redesigned card that pairs a small illustration/icon-set per asset type (equities vs. bonds vs. IPOs, say) with the disclosure data, so it reads as guidance rather than a spec sheet.</w:t>
      </w:r>
    </w:p>
    <w:p>
      <w:pPr>
        <w:pStyle w:val="ListParagraph"/>
        <w:numPr>
          <w:ilvl w:val="0"/>
          <w:numId w:val="1"/>
        </w:numPr>
        <w:spacing w:after="60"/>
      </w:pPr>
      <w:r>
        <w:t xml:space="preserve">The comprehension layer ('Explain this investment') is a genuine design opportunity, not just a content feature — it's the one part of the product explicitly meant to feel like a warm, patient guide rather than a form. It should look different from the rest of the app: more illustration, more white space, a conversational layout, not another card stack.</w:t>
      </w:r>
    </w:p>
    <w:p>
      <w:pPr>
        <w:pStyle w:val="Heading2"/>
        <w:spacing w:after="120" w:before="260"/>
      </w:pPr>
      <w:r>
        <w:t xml:space="preserve">6.3 What to keep</w:t>
      </w:r>
    </w:p>
    <w:p>
      <w:pPr>
        <w:pStyle w:val="ListParagraph"/>
        <w:numPr>
          <w:ilvl w:val="0"/>
          <w:numId w:val="1"/>
        </w:numPr>
        <w:spacing w:after="60"/>
      </w:pPr>
      <w:r>
        <w:t xml:space="preserve">The underlying restraint and legibility — a busy, cluttered redesign would trade one problem for another. The goal is warmth added on top of a still-calm, still-trustworthy base, not a loud consumer-app aesthetic.</w:t>
      </w:r>
    </w:p>
    <w:p>
      <w:pPr>
        <w:pStyle w:val="ListParagraph"/>
        <w:numPr>
          <w:ilvl w:val="0"/>
          <w:numId w:val="1"/>
        </w:numPr>
        <w:spacing w:after="60"/>
      </w:pPr>
      <w:r>
        <w:t xml:space="preserve">The existing component architecture (KColor/KSpace tokens, a shared widget library) is a good technical foundation for a redesign — the tokens and structure can largely stay; it's the values and the addition of an illustration system that need to change.</w:t>
      </w:r>
    </w:p>
    <w:p>
      <w:pPr>
        <w:pStyle w:val="Heading2"/>
        <w:spacing w:after="120" w:before="260"/>
      </w:pPr>
      <w:r>
        <w:t xml:space="preserve">6.4 Practical note for whoever designs this</w:t>
      </w:r>
    </w:p>
    <w:p>
      <w:pPr>
        <w:spacing w:after="120"/>
      </w:pPr>
      <w:r>
        <w:t xml:space="preserve">Because fee/risk/liquidity/currency fields don't exist on the Asset model yet (5.3) and the AI comprehension layer doesn't exist yet either (5.5), the highest-leverage sequencing is: scope the new screens (product card v2, 'Explain this,' portfolio health, comparison view) and the data model together, then design and build them as native to the new visual direction from day one — rather than redesigning the existing screens first and bolting the new AI-driven ones on afterward in a mismatched style.</w:t>
      </w:r>
    </w:p>
    <w:p>
      <w:pPr>
        <w:pStyle w:val="Heading2"/>
        <w:spacing w:after="120" w:before="260"/>
      </w:pPr>
      <w:r>
        <w:t xml:space="preserve">6.5 Emails and notifications — currently undesigned, worth fixing early</w:t>
      </w:r>
    </w:p>
    <w:p>
      <w:pPr>
        <w:spacing w:after="120"/>
      </w:pPr>
      <w:r>
        <w:t xml:space="preserve">Checked the backend directly: email sending is wired up (welcome, login-alert, password-changed, kyc-decision, transaction-status-changed, wallet-funded, order-filled, bank-account-added all fire), but no actual HTML template exists in either repo — it's a template *name* passed to an email provider, with no visual design behind it yet. Left alone, this will ship as plain, legalistic text — exactly like the Bamboo sample email in this review: a wall of disclaimer copy with the actual useful information (device, location, what to do) buried in it.</w:t>
      </w:r>
    </w:p>
    <w:p>
      <w:pPr>
        <w:pStyle w:val="ListParagraph"/>
        <w:numPr>
          <w:ilvl w:val="0"/>
          <w:numId w:val="1"/>
        </w:numPr>
        <w:spacing w:after="60"/>
      </w:pPr>
      <w:r>
        <w:t xml:space="preserve">Design an actual email template system — a header with the wordmark, generous white space, one clear action per email, plain-English copy first with legal/compliance text visibly separated (footer or a collapsed section), not interleaved with the message.</w:t>
      </w:r>
    </w:p>
    <w:p>
      <w:pPr>
        <w:pStyle w:val="ListParagraph"/>
        <w:numPr>
          <w:ilvl w:val="0"/>
          <w:numId w:val="1"/>
        </w:numPr>
        <w:spacing w:after="60"/>
      </w:pPr>
      <w:r>
        <w:t xml:space="preserve">The login-alert email specifically should lead with what happened and a single obvious button — Freeze my account (once 3.1's self-service freeze ships) — not a numbered list of manual steps to take inside the app.</w:t>
      </w:r>
    </w:p>
    <w:p>
      <w:pPr>
        <w:pStyle w:val="ListParagraph"/>
        <w:numPr>
          <w:ilvl w:val="0"/>
          <w:numId w:val="1"/>
        </w:numPr>
        <w:spacing w:after="60"/>
      </w:pPr>
      <w:r>
        <w:t xml:space="preserve">Match the new illustration system here too — a small, calm illustration or icon treatment per email type (security alert, trade confirmation, KYC approved, dividend received) does a lot to make these feel like Kudimata instead of a generic transactional-email template.</w:t>
      </w:r>
    </w:p>
    <w:p>
      <w:pPr>
        <w:pStyle w:val="ListParagraph"/>
        <w:numPr>
          <w:ilvl w:val="0"/>
          <w:numId w:val="1"/>
        </w:numPr>
        <w:spacing w:after="60"/>
      </w:pPr>
      <w:r>
        <w:t xml:space="preserve">Order-filled and wallet-funded emails are good early candidates for the AI comprehension voice — e.g. a one-line plain-English summary of what just happened and what it means, not just a transaction receipt.</w:t>
      </w:r>
    </w:p>
    <w:p>
      <w:pPr>
        <w:pStyle w:val="Heading2"/>
        <w:spacing w:after="120" w:before="260"/>
      </w:pPr>
      <w:r>
        <w:t xml:space="preserve">6.6 Language switching (English/Pidgin) — needs a real place to live</w:t>
      </w:r>
    </w:p>
    <w:p>
      <w:pPr>
        <w:spacing w:after="120"/>
      </w:pPr>
      <w:r>
        <w:t xml:space="preserve">Confirmed gap: no localization scaffolding exists anywhere in this app's codebase (5.2). This needs both a technical decision and a design one.</w:t>
      </w:r>
    </w:p>
    <w:p>
      <w:pPr>
        <w:pStyle w:val="ListParagraph"/>
        <w:numPr>
          <w:ilvl w:val="0"/>
          <w:numId w:val="1"/>
        </w:numPr>
        <w:spacing w:after="60"/>
      </w:pPr>
      <w:r>
        <w:t xml:space="preserve">Give it a persistent, low-friction switch — not buried three levels into Account settings. A visible toggle near the top of Home or inside the app-bar profile menu, so switching languages is a one-tap action a user might do mid-session, not a one-time setup choice.</w:t>
      </w:r>
    </w:p>
    <w:p>
      <w:pPr>
        <w:pStyle w:val="ListParagraph"/>
        <w:numPr>
          <w:ilvl w:val="0"/>
          <w:numId w:val="1"/>
        </w:numPr>
        <w:spacing w:after="60"/>
      </w:pPr>
      <w:r>
        <w:t xml:space="preserve">Language should apply everywhere the comprehension layer speaks — the 'Explain this' feature, digests, nudges, and the new email templates above — not just static UI labels. That's a content-architecture decision (every AI-generated string needs a language parameter), not just a translation file.</w:t>
      </w:r>
    </w:p>
    <w:p>
      <w:pPr>
        <w:pStyle w:val="ListParagraph"/>
        <w:numPr>
          <w:ilvl w:val="0"/>
          <w:numId w:val="1"/>
        </w:numPr>
        <w:spacing w:after="60"/>
      </w:pPr>
      <w:r>
        <w:t xml:space="preserve">Keep formal legal text (risk disclosures, client agreement) authoritative in English regardless of language setting, with Pidgin available as a plain-language companion alongside it, not a replacement — matches the principle already set in the product research: Pidgin simplifies the explanation, it doesn't rewrite the legal obligation.</w:t>
      </w:r>
    </w:p>
    <w:p>
      <w:pPr>
        <w:pStyle w:val="ListParagraph"/>
        <w:numPr>
          <w:ilvl w:val="0"/>
          <w:numId w:val="1"/>
        </w:numPr>
        <w:spacing w:after="60"/>
      </w:pPr>
      <w:r>
        <w:t xml:space="preserve">Design-wise, this is a good candidate for a small illustrated 'voice' — a consistent visual cue (icon, colour tag) that marks any AI-explained or Pidgin-translated content as distinct from formal product/legal copy, so users always know which register they're reading.</w:t>
      </w:r>
    </w:p>
    <w:p>
      <w:pPr>
        <w:pStyle w:val="Heading2"/>
        <w:spacing w:after="120" w:before="260"/>
      </w:pPr>
      <w:r>
        <w:t xml:space="preserve">6.7 Surfacing the AI / comprehension features — these need their own visual language</w:t>
      </w:r>
    </w:p>
    <w:p>
      <w:pPr>
        <w:spacing w:after="120"/>
      </w:pPr>
      <w:r>
        <w:t xml:space="preserve">Section 5.5 lists these as missing entirely; this is the design side of building them. Each one needs a distinct, discoverable presence rather than being one more row in a settings list:</w:t>
      </w:r>
    </w:p>
    <w:p>
      <w:pPr>
        <w:pStyle w:val="ListParagraph"/>
        <w:numPr>
          <w:ilvl w:val="0"/>
          <w:numId w:val="1"/>
        </w:numPr>
        <w:spacing w:after="60"/>
      </w:pPr>
      <w:r>
        <w:t xml:space="preserve">'Explain this investment' — a persistent, obviously-tappable affordance next to any product, term, or filing (not a buried help-article link), opening into the warmer, illustrated, conversational layout described in 6.2 — this should feel like asking a knowledgeable friend, not opening a manual.</w:t>
      </w:r>
    </w:p>
    <w:p>
      <w:pPr>
        <w:pStyle w:val="ListParagraph"/>
        <w:numPr>
          <w:ilvl w:val="0"/>
          <w:numId w:val="1"/>
        </w:numPr>
        <w:spacing w:after="60"/>
      </w:pPr>
      <w:r>
        <w:t xml:space="preserve">Document/disclosure comprehension (rights issues, filings) — a plain-English summary should sit above the raw NGX document by default, with the option to view the original, not the other way round. This is the single feature born directly from the Universal Insurance document walkthrough earlier in this project, and it deserves a first-class screen, not a collapsed accordion.</w:t>
      </w:r>
    </w:p>
    <w:p>
      <w:pPr>
        <w:pStyle w:val="ListParagraph"/>
        <w:numPr>
          <w:ilvl w:val="0"/>
          <w:numId w:val="1"/>
        </w:numPr>
        <w:spacing w:after="60"/>
      </w:pPr>
      <w:r>
        <w:t xml:space="preserve">Personalized portfolio summaries and research digests — a distinct card style on Home, visually different from transaction/holding rows, so it reads as 'your assistant telling you something' rather than another data row.</w:t>
      </w:r>
    </w:p>
    <w:p>
      <w:pPr>
        <w:pStyle w:val="ListParagraph"/>
        <w:numPr>
          <w:ilvl w:val="0"/>
          <w:numId w:val="1"/>
        </w:numPr>
        <w:spacing w:after="60"/>
      </w:pPr>
      <w:r>
        <w:t xml:space="preserve">Nudges — small, dismissible, warm-toned prompts (not red alert-style banners) — these should never look like errors or warnings, since they're gentle encouragement, not compliance notices.</w:t>
      </w:r>
    </w:p>
    <w:p>
      <w:pPr>
        <w:pStyle w:val="ListParagraph"/>
        <w:numPr>
          <w:ilvl w:val="0"/>
          <w:numId w:val="1"/>
        </w:numPr>
        <w:spacing w:after="60"/>
      </w:pPr>
      <w:r>
        <w:t xml:space="preserve">Across all of the above: give the AI-generated content a consistent, recognizable visual signature (a subtle accent colour, a small avatar/mark, consistent typography treatment) so users always know when they're reading something Kudimata generated for them personally versus static product copy.</w:t>
      </w:r>
    </w:p>
    <w:p>
      <w:pPr>
        <w:pStyle w:val="Heading1"/>
        <w:spacing w:after="160" w:before="320"/>
      </w:pPr>
      <w:r>
        <w:t xml:space="preserve">7. Recommended priority roadmap</w:t>
      </w:r>
    </w:p>
    <w:p>
      <w:pPr>
        <w:pStyle w:val="Heading2"/>
        <w:spacing w:after="120" w:before="260"/>
      </w:pPr>
      <w:r>
        <w:t xml:space="preserve">P0 — Security &amp; compliance (close the Bamboo-parity gaps)</w:t>
      </w:r>
    </w:p>
    <w:p>
      <w:pPr>
        <w:pStyle w:val="ListParagraph"/>
        <w:numPr>
          <w:ilvl w:val="0"/>
          <w:numId w:val="1"/>
        </w:numPr>
        <w:spacing w:after="60"/>
      </w:pPr>
      <w:r>
        <w:t xml:space="preserve">Self-service account freeze reachable from the login-alert email and from the Security screen, plus a fraud-desk contact.</w:t>
      </w:r>
    </w:p>
    <w:p>
      <w:pPr>
        <w:pStyle w:val="ListParagraph"/>
        <w:numPr>
          <w:ilvl w:val="0"/>
          <w:numId w:val="1"/>
        </w:numPr>
        <w:spacing w:after="60"/>
      </w:pPr>
      <w:r>
        <w:t xml:space="preserve">Session revocation on suspend (currently missing per the admin API docs).</w:t>
      </w:r>
    </w:p>
    <w:p>
      <w:pPr>
        <w:pStyle w:val="ListParagraph"/>
        <w:numPr>
          <w:ilvl w:val="0"/>
          <w:numId w:val="1"/>
        </w:numPr>
        <w:spacing w:after="60"/>
      </w:pPr>
      <w:r>
        <w:t xml:space="preserve">Real OS-level biometric authentication (the SEAM is already flagged in code).</w:t>
      </w:r>
    </w:p>
    <w:p>
      <w:pPr>
        <w:pStyle w:val="ListParagraph"/>
        <w:numPr>
          <w:ilvl w:val="0"/>
          <w:numId w:val="1"/>
        </w:numPr>
        <w:spacing w:after="60"/>
      </w:pPr>
      <w:r>
        <w:t xml:space="preserve">Step-up 2FA for sensitive actions (large withdrawal, new bank account, security changes).</w:t>
      </w:r>
    </w:p>
    <w:p>
      <w:pPr>
        <w:pStyle w:val="ListParagraph"/>
        <w:numPr>
          <w:ilvl w:val="0"/>
          <w:numId w:val="1"/>
        </w:numPr>
        <w:spacing w:after="60"/>
      </w:pPr>
      <w:r>
        <w:t xml:space="preserve">Threat model + certificate pinning / device-integrity checks before production HTTPS-only release.</w:t>
      </w:r>
    </w:p>
    <w:p>
      <w:pPr>
        <w:pStyle w:val="Heading2"/>
        <w:spacing w:after="120" w:before="260"/>
      </w:pPr>
      <w:r>
        <w:t xml:space="preserve">P0 — Data model groundwork for the business strategy</w:t>
      </w:r>
    </w:p>
    <w:p>
      <w:pPr>
        <w:pStyle w:val="ListParagraph"/>
        <w:numPr>
          <w:ilvl w:val="0"/>
          <w:numId w:val="1"/>
        </w:numPr>
        <w:spacing w:after="60"/>
      </w:pPr>
      <w:r>
        <w:t xml:space="preserve">Add brokerId/brokerCode to Order and Holding before the second broker integration starts — retrofitting this later is far more painful.</w:t>
      </w:r>
    </w:p>
    <w:p>
      <w:pPr>
        <w:pStyle w:val="ListParagraph"/>
        <w:numPr>
          <w:ilvl w:val="0"/>
          <w:numId w:val="1"/>
        </w:numPr>
        <w:spacing w:after="60"/>
      </w:pPr>
      <w:r>
        <w:t xml:space="preserve">Add fee/risk/liquidity/currency/minimum/holding-period fields to Asset — needed for both the transparent product cards and the AI comprehension layer to have something structured to explain.</w:t>
      </w:r>
    </w:p>
    <w:p>
      <w:pPr>
        <w:pStyle w:val="ListParagraph"/>
        <w:numPr>
          <w:ilvl w:val="0"/>
          <w:numId w:val="1"/>
        </w:numPr>
        <w:spacing w:after="60"/>
      </w:pPr>
      <w:r>
        <w:t xml:space="preserve">Design the multi-currency wallet split (the 'convert' transaction type already anticipates this).</w:t>
      </w:r>
    </w:p>
    <w:p>
      <w:pPr>
        <w:pStyle w:val="Heading2"/>
        <w:spacing w:after="120" w:before="260"/>
      </w:pPr>
      <w:r>
        <w:t xml:space="preserve">P1 — AI / comprehension layer (the differentiator)</w:t>
      </w:r>
    </w:p>
    <w:p>
      <w:pPr>
        <w:pStyle w:val="ListParagraph"/>
        <w:numPr>
          <w:ilvl w:val="0"/>
          <w:numId w:val="1"/>
        </w:numPr>
        <w:spacing w:after="60"/>
      </w:pPr>
      <w:r>
        <w:t xml:space="preserve">'Explain this investment' — ship first, as previously scoped: what am I buying, how can I make/lose money, when can I get money back, fees/taxes, FX risk, term glossary.</w:t>
      </w:r>
    </w:p>
    <w:p>
      <w:pPr>
        <w:pStyle w:val="ListParagraph"/>
        <w:numPr>
          <w:ilvl w:val="0"/>
          <w:numId w:val="1"/>
        </w:numPr>
        <w:spacing w:after="60"/>
      </w:pPr>
      <w:r>
        <w:t xml:space="preserve">Plain-English/Pidgin toggle inside the trading app itself, applied everywhere the app generates language (not just static labels) — see 6.6.</w:t>
      </w:r>
    </w:p>
    <w:p>
      <w:pPr>
        <w:pStyle w:val="ListParagraph"/>
        <w:numPr>
          <w:ilvl w:val="0"/>
          <w:numId w:val="1"/>
        </w:numPr>
        <w:spacing w:after="60"/>
      </w:pPr>
      <w:r>
        <w:t xml:space="preserve">Designed HTML email templates for the 8 notification types already wired up on the backend, in the new visual direction — see 6.5.</w:t>
      </w:r>
    </w:p>
    <w:p>
      <w:pPr>
        <w:pStyle w:val="ListParagraph"/>
        <w:numPr>
          <w:ilvl w:val="0"/>
          <w:numId w:val="1"/>
        </w:numPr>
        <w:spacing w:after="60"/>
      </w:pPr>
      <w:r>
        <w:t xml:space="preserve">Portfolio summaries and research digests once market data and corporate-action feeds are live.</w:t>
      </w:r>
    </w:p>
    <w:p>
      <w:pPr>
        <w:pStyle w:val="Heading2"/>
        <w:spacing w:after="120" w:before="260"/>
      </w:pPr>
      <w:r>
        <w:t xml:space="preserve">P1 — UX</w:t>
      </w:r>
    </w:p>
    <w:p>
      <w:pPr>
        <w:pStyle w:val="ListParagraph"/>
        <w:numPr>
          <w:ilvl w:val="0"/>
          <w:numId w:val="1"/>
        </w:numPr>
        <w:spacing w:after="60"/>
      </w:pPr>
      <w:r>
        <w:t xml:space="preserve">Product comparison view.</w:t>
      </w:r>
    </w:p>
    <w:p>
      <w:pPr>
        <w:pStyle w:val="ListParagraph"/>
        <w:numPr>
          <w:ilvl w:val="0"/>
          <w:numId w:val="1"/>
        </w:numPr>
        <w:spacing w:after="60"/>
      </w:pPr>
      <w:r>
        <w:t xml:space="preserve">Portfolio health / allocation view.</w:t>
      </w:r>
    </w:p>
    <w:p>
      <w:pPr>
        <w:pStyle w:val="ListParagraph"/>
        <w:numPr>
          <w:ilvl w:val="0"/>
          <w:numId w:val="1"/>
        </w:numPr>
        <w:spacing w:after="60"/>
      </w:pPr>
      <w:r>
        <w:t xml:space="preserve">Full design-language pass.</w:t>
      </w:r>
    </w:p>
    <w:p>
      <w:pPr>
        <w:pStyle w:val="Heading2"/>
        <w:spacing w:after="120" w:before="260"/>
      </w:pPr>
      <w:r>
        <w:t xml:space="preserve">P2 — Expansion</w:t>
      </w:r>
    </w:p>
    <w:p>
      <w:pPr>
        <w:pStyle w:val="ListParagraph"/>
        <w:numPr>
          <w:ilvl w:val="0"/>
          <w:numId w:val="1"/>
        </w:numPr>
        <w:spacing w:after="60"/>
      </w:pPr>
      <w:r>
        <w:t xml:space="preserve">IPO/rights-issue subscription module (PrimaryOffer integration or equivalent).</w:t>
      </w:r>
    </w:p>
    <w:p>
      <w:pPr>
        <w:pStyle w:val="ListParagraph"/>
        <w:numPr>
          <w:ilvl w:val="0"/>
          <w:numId w:val="1"/>
        </w:numPr>
        <w:spacing w:after="60"/>
      </w:pPr>
      <w:r>
        <w:t xml:space="preserve">Second broker integration + reconciliation.</w:t>
      </w:r>
    </w:p>
    <w:p>
      <w:pPr>
        <w:pStyle w:val="ListParagraph"/>
        <w:numPr>
          <w:ilvl w:val="0"/>
          <w:numId w:val="1"/>
        </w:numPr>
        <w:spacing w:after="60"/>
      </w:pPr>
      <w:r>
        <w:t xml:space="preserve">Nudges.</w:t>
      </w:r>
    </w:p>
    <w:p>
      <w:pPr>
        <w:pStyle w:val="Heading1"/>
        <w:spacing w:after="160" w:before="320"/>
      </w:pPr>
      <w:r>
        <w:t xml:space="preserve">8. Open questions for the team / MD</w:t>
      </w:r>
    </w:p>
    <w:p>
      <w:pPr>
        <w:pStyle w:val="ListParagraph"/>
        <w:numPr>
          <w:ilvl w:val="0"/>
          <w:numId w:val="1"/>
        </w:numPr>
        <w:spacing w:after="60"/>
      </w:pPr>
      <w:r>
        <w:t xml:space="preserve">Confirm the AML/CFT/CPF programme (sanctions/PEP screening, transaction monitoring, escalation, audit trail) against the actual vendor architecture — the KYC flow is solid, but KYC is not the whole AML programme.</w:t>
      </w:r>
    </w:p>
    <w:p>
      <w:pPr>
        <w:pStyle w:val="ListParagraph"/>
        <w:numPr>
          <w:ilvl w:val="0"/>
          <w:numId w:val="1"/>
        </w:numPr>
        <w:spacing w:after="60"/>
      </w:pPr>
      <w:r>
        <w:t xml:space="preserve">Confirm the exact licence/sponsor/broker/custodian structure before any product claims go out publicly, and before Capital Market-type features go live on the marketing site.</w:t>
      </w:r>
    </w:p>
    <w:p>
      <w:pPr>
        <w:pStyle w:val="ListParagraph"/>
        <w:numPr>
          <w:ilvl w:val="0"/>
          <w:numId w:val="1"/>
        </w:numPr>
        <w:spacing w:after="60"/>
      </w:pPr>
      <w:r>
        <w:t xml:space="preserve">Decide, in writing, whether Kudimata custodies client money directly or purely via a partner-bank wallet — this affects both the schema work in 6.3 and the regulatory posture.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2026-08-22T10:23:32.965Z</dcterms:created>
  <dcterms:modified xsi:type="dcterms:W3CDTF">2026-08-22T10:23:32.981Z</dcterms:modified>
</cp:coreProperties>
</file>

<file path=docProps/custom.xml><?xml version="1.0" encoding="utf-8"?>
<Properties xmlns="http://schemas.openxmlformats.org/officeDocument/2006/custom-properties" xmlns:vt="http://schemas.openxmlformats.org/officeDocument/2006/docPropsVTypes"/>
</file>