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UCSF BENIOFF MEDICAL CENTER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Clinical Laboratories  •  1 Medical Center Drive, Oakland, CA 94609</w:t>
      </w:r>
    </w:p>
    <w:p>
      <w:pPr>
        <w:pBdr>
          <w:top w:val="single" w:color="1F3A5F" w:sz="6" w:space="4"/>
          <w:bottom w:val="single" w:color="1F3A5F" w:sz="6" w:space="4"/>
        </w:pBdr>
        <w:spacing w:after="200" w:before="80"/>
        <w:jc w:val="center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LABORATORY RESULTS REPORT — LIPID PANEL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Patient: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Jane M. Doe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Date of Birth: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[on file]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Ordering Physician: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Dr. Howard Kim, MD — Preventive Medicine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Date of Collection: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15, 2026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Date of Report: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16, 2026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Specimen: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Serum, fasting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Accession #: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UCSF-LP-20260416-0427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DIAGNOSIS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A5F"/>
                <w:sz w:val="24"/>
                <w:szCs w:val="24"/>
              </w:rPr>
              <w:t xml:space="preserve">Hypercholesterolemia</w:t>
            </w:r>
            <w:r>
              <w:rPr>
                <w:rFonts w:ascii="Arial" w:cs="Arial" w:eastAsia="Arial" w:hAnsi="Arial"/>
                <w:color w:val="1F3A5F"/>
                <w:sz w:val="22"/>
                <w:szCs w:val="22"/>
              </w:rPr>
              <w:t xml:space="preserve">  (Elevated Blood Cholesterol)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ICD-10 Code: E78.00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Lipid Panel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100"/>
        <w:gridCol w:w="2360"/>
        <w:gridCol w:w="200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UNITS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Cholesterol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227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mg/dL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200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2222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LDL Cholesterol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154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mg/dL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100 (optimal)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2222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HDL Cholesterol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42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mg/dL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 60 (optimal)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BORDERLINE LOW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Triglycerides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156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mg/dL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150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BORDERLINE HIGH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LDL Cholesterol is calculated using the Friedewald equation. Values are reported in milligrams per deciliter (mg/dL).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Physician Notes — Dr. Howard Kim, MD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Patient presents with elevated LDL and total cholesterol consistent with a diagnosis of Hypercholesterolemia. HDL is borderline low and triglycerides are borderline high; overall lipid profile suggests increased cardiovascular risk that warrants intervention beginning with lifestyle modifications.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Recommendations: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Reduce saturated fat intake to less than 7% of total daily calories; minimize trans fats.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Increase soluble fiber from oats, beans, lentils, and fresh fruit (target: 25–30 g fiber/day).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Aerobic exercise: 30 minutes per day, at least 5 days per week (e.g., brisk walking, cycling).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Limit alcohol to ≤1 drink per day; avoid sugar-sweetened beverages.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Repeat lipid panel in 3 months to reassess response to lifestyle changes.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If LDL remains &gt; 130 mg/dL at follow-up, consider initiating statin therapy (e.g., Atorvastatin 10 mg daily) at next visit.</w:t>
      </w:r>
    </w:p>
    <w:p>
      <w:pPr>
        <w:spacing w:after="200" w:before="120"/>
      </w:pPr>
      <w:r>
        <w:rPr>
          <w:rFonts w:ascii="Arial" w:cs="Arial" w:eastAsia="Arial" w:hAnsi="Arial"/>
          <w:sz w:val="20"/>
          <w:szCs w:val="20"/>
        </w:rPr>
        <w:t xml:space="preserve">Please contact the office if you experience chest pain, shortness of breath, or any new symptoms. A follow-up appointment has been requested for July 2026 — the front desk will reach out to schedule.</w:t>
      </w:r>
    </w:p>
    <w:p>
      <w:pPr>
        <w:pBdr>
          <w:top w:val="single" w:color="CCCCCC" w:sz="4" w:space="4"/>
        </w:pBdr>
        <w:spacing w:after="40" w:before="20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Report electronically generated and signed: April 16, 2026, 09:14 PT</w:t>
      </w:r>
    </w:p>
    <w:p>
      <w:pPr>
        <w:spacing w:after="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Reviewing Pathologist: Dr. Anita Reyes, MD, PhD  •  CLIA #05D0123456  •  CAP-accredited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1F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2026-05-05T15:50:00.986Z</dcterms:created>
  <dcterms:modified xsi:type="dcterms:W3CDTF">2026-05-05T15:50:01.002Z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