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58"/>
          <w:szCs w:val="58"/>
        </w:rPr>
      </w:pPr>
      <w:bookmarkStart w:colFirst="0" w:colLast="0" w:name="_krywdkg5kx4m" w:id="0"/>
      <w:bookmarkEnd w:id="0"/>
      <w:r w:rsidDel="00000000" w:rsidR="00000000" w:rsidRPr="00000000">
        <w:rPr>
          <w:b w:val="1"/>
          <w:bCs w:val="1"/>
          <w:sz w:val="58"/>
          <w:szCs w:val="58"/>
          <w:rtl w:val="0"/>
        </w:rPr>
        <w:t xml:space="preserve">Cybersecurity Analysis Report</w:t>
      </w:r>
    </w:p>
    <w:p w:rsidR="00000000" w:rsidDel="00000000" w:rsidP="00000000" w:rsidRDefault="00000000" w:rsidRPr="00000000" w14:paraId="00000002">
      <w:pPr>
        <w:pStyle w:val="Title"/>
        <w:jc w:val="center"/>
        <w:rPr>
          <w:sz w:val="42"/>
          <w:szCs w:val="42"/>
        </w:rPr>
      </w:pPr>
      <w:bookmarkStart w:colFirst="0" w:colLast="0" w:name="_2bfl3yb4rnpj" w:id="1"/>
      <w:bookmarkEnd w:id="1"/>
      <w:r w:rsidDel="00000000" w:rsidR="00000000" w:rsidRPr="00000000">
        <w:rPr>
          <w:sz w:val="42"/>
          <w:szCs w:val="42"/>
          <w:rtl w:val="0"/>
        </w:rPr>
        <w:t xml:space="preserve">0x2A Security</w:t>
      </w:r>
    </w:p>
    <w:p w:rsidR="00000000" w:rsidDel="00000000" w:rsidP="00000000" w:rsidRDefault="00000000" w:rsidRPr="00000000" w14:paraId="00000003">
      <w:pPr>
        <w:jc w:val="center"/>
        <w:rPr>
          <w:rFonts w:ascii="Roboto Condensed" w:cs="Roboto Condensed" w:eastAsia="Roboto Condensed" w:hAnsi="Roboto Condensed"/>
          <w:sz w:val="42"/>
          <w:szCs w:val="42"/>
        </w:rPr>
      </w:pPr>
      <w:r w:rsidDel="00000000" w:rsidR="00000000" w:rsidRPr="00000000">
        <w:rPr>
          <w:b w:val="1"/>
          <w:bCs w:val="1"/>
          <w:sz w:val="42"/>
          <w:szCs w:val="42"/>
          <w:rtl w:val="0"/>
        </w:rPr>
        <w:t xml:space="preserve">ANALYST:</w:t>
      </w:r>
      <w:r w:rsidDel="00000000" w:rsidR="00000000" w:rsidRPr="00000000">
        <w:rPr>
          <w:rFonts w:ascii="Roboto Condensed" w:cs="Roboto Condensed" w:eastAsia="Roboto Condensed" w:hAnsi="Roboto Condensed"/>
          <w:sz w:val="42"/>
          <w:szCs w:val="42"/>
          <w:rtl w:val="0"/>
        </w:rPr>
        <w:t xml:space="preserve"> </w:t>
      </w:r>
      <w:r w:rsidDel="00000000" w:rsidR="00000000" w:rsidRPr="00000000">
        <w:rPr>
          <w:sz w:val="42"/>
          <w:szCs w:val="42"/>
          <w:rtl w:val="0"/>
        </w:rPr>
        <w:t xml:space="preserve">Samuel Weiss</w:t>
      </w:r>
      <w:r w:rsidDel="00000000" w:rsidR="00000000" w:rsidRPr="00000000">
        <w:rPr>
          <w:rtl w:val="0"/>
        </w:rPr>
      </w:r>
    </w:p>
    <w:p w:rsidR="00000000" w:rsidDel="00000000" w:rsidP="00000000" w:rsidRDefault="00000000" w:rsidRPr="00000000" w14:paraId="00000004">
      <w:pPr>
        <w:jc w:val="center"/>
        <w:rPr>
          <w:sz w:val="42"/>
          <w:szCs w:val="42"/>
        </w:rPr>
      </w:pPr>
      <w:r w:rsidDel="00000000" w:rsidR="00000000" w:rsidRPr="00000000">
        <w:rPr>
          <w:b w:val="1"/>
          <w:bCs w:val="1"/>
          <w:sz w:val="42"/>
          <w:szCs w:val="42"/>
          <w:rtl w:val="0"/>
        </w:rPr>
        <w:t xml:space="preserve">DATE:</w:t>
      </w:r>
      <w:r w:rsidDel="00000000" w:rsidR="00000000" w:rsidRPr="00000000">
        <w:rPr>
          <w:sz w:val="42"/>
          <w:szCs w:val="42"/>
          <w:rtl w:val="0"/>
        </w:rPr>
        <w:t xml:space="preserve"> 02/25/2026</w:t>
      </w:r>
    </w:p>
    <w:p w:rsidR="00000000" w:rsidDel="00000000" w:rsidP="00000000" w:rsidRDefault="00000000" w:rsidRPr="00000000" w14:paraId="00000005">
      <w:pPr>
        <w:jc w:val="center"/>
        <w:rPr>
          <w:sz w:val="42"/>
          <w:szCs w:val="42"/>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31iw95mkotji" w:id="2"/>
      <w:bookmarkEnd w:id="2"/>
      <w:r w:rsidDel="00000000" w:rsidR="00000000" w:rsidRPr="00000000">
        <w:rPr>
          <w:rtl w:val="0"/>
        </w:rPr>
        <w:t xml:space="preserve">Opening</w:t>
      </w:r>
    </w:p>
    <w:p w:rsidR="00000000" w:rsidDel="00000000" w:rsidP="00000000" w:rsidRDefault="00000000" w:rsidRPr="00000000" w14:paraId="00000008">
      <w:pPr>
        <w:rPr>
          <w:sz w:val="24"/>
          <w:szCs w:val="24"/>
        </w:rPr>
      </w:pPr>
      <w:r w:rsidDel="00000000" w:rsidR="00000000" w:rsidRPr="00000000">
        <w:rPr>
          <w:sz w:val="24"/>
          <w:szCs w:val="24"/>
          <w:rtl w:val="0"/>
        </w:rPr>
        <w:t xml:space="preserve">This assessment evaluates the threat posture of a mid-size online gaming company operating live web applications, payment processing systems, development infrastructure, and a real-time player chat environment. The threat model reviewed assets, attack vectors, mapped adversary techniques, detection coverage, and stakeholder alignment across software, data, and human risk domains.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9ie666t5qeb2" w:id="3"/>
      <w:bookmarkEnd w:id="3"/>
      <w:r w:rsidDel="00000000" w:rsidR="00000000" w:rsidRPr="00000000">
        <w:rPr>
          <w:rtl w:val="0"/>
        </w:rPr>
        <w:t xml:space="preserve">Threat Model Summary</w:t>
      </w:r>
    </w:p>
    <w:p w:rsidR="00000000" w:rsidDel="00000000" w:rsidP="00000000" w:rsidRDefault="00000000" w:rsidRPr="00000000" w14:paraId="0000001A">
      <w:pPr>
        <w:spacing w:after="240" w:before="240" w:lineRule="auto"/>
        <w:rPr/>
      </w:pPr>
      <w:r w:rsidDel="00000000" w:rsidR="00000000" w:rsidRPr="00000000">
        <w:rPr>
          <w:rtl w:val="0"/>
        </w:rPr>
        <w:t xml:space="preserve">The most critical assets at risk include proprietary game intellectual property, player payment data, user account credentials, and the in-game chat ecosystem. Each represents both operational revenue dependency and reputational exposure.</w:t>
      </w:r>
    </w:p>
    <w:p w:rsidR="00000000" w:rsidDel="00000000" w:rsidP="00000000" w:rsidRDefault="00000000" w:rsidRPr="00000000" w14:paraId="0000001B">
      <w:pPr>
        <w:spacing w:after="240" w:before="240" w:lineRule="auto"/>
        <w:rPr/>
      </w:pPr>
      <w:r w:rsidDel="00000000" w:rsidR="00000000" w:rsidRPr="00000000">
        <w:rPr>
          <w:rtl w:val="0"/>
        </w:rPr>
        <w:t xml:space="preserve">From a software perspective, exposed development servers and vulnerable web applications create high-likelihood entry points. Misconfigured environments and insufficient segmentation increase the risk of initial compromise and lateral movement.</w:t>
      </w:r>
    </w:p>
    <w:p w:rsidR="00000000" w:rsidDel="00000000" w:rsidP="00000000" w:rsidRDefault="00000000" w:rsidRPr="00000000" w14:paraId="0000001C">
      <w:pPr>
        <w:spacing w:after="240" w:before="240" w:lineRule="auto"/>
        <w:rPr/>
      </w:pPr>
      <w:r w:rsidDel="00000000" w:rsidR="00000000" w:rsidRPr="00000000">
        <w:rPr>
          <w:rtl w:val="0"/>
        </w:rPr>
        <w:t xml:space="preserve">From a data standpoint, payment processing systems and account authentication mechanisms present prime targets. Payment compromise could trigger regulatory scrutiny and PCI violations, while account takeovers would directly erode player trust and platform credibility.</w:t>
      </w:r>
    </w:p>
    <w:p w:rsidR="00000000" w:rsidDel="00000000" w:rsidP="00000000" w:rsidRDefault="00000000" w:rsidRPr="00000000" w14:paraId="0000001D">
      <w:pPr>
        <w:spacing w:after="240" w:before="240" w:lineRule="auto"/>
        <w:rPr/>
      </w:pPr>
      <w:r w:rsidDel="00000000" w:rsidR="00000000" w:rsidRPr="00000000">
        <w:rPr>
          <w:rtl w:val="0"/>
        </w:rPr>
        <w:t xml:space="preserve">Human risk remains significant. Shared credentials, weak privilege separation, and excessive administrative access elevate the probability of insider misuse or credential abuse.</w:t>
      </w:r>
    </w:p>
    <w:p w:rsidR="00000000" w:rsidDel="00000000" w:rsidP="00000000" w:rsidRDefault="00000000" w:rsidRPr="00000000" w14:paraId="0000001E">
      <w:pPr>
        <w:spacing w:after="240" w:before="240" w:lineRule="auto"/>
        <w:rPr/>
      </w:pPr>
      <w:r w:rsidDel="00000000" w:rsidR="00000000" w:rsidRPr="00000000">
        <w:rPr>
          <w:rtl w:val="0"/>
        </w:rPr>
        <w:t xml:space="preserve">The highest priority risks center on identity-driven compromise leading to payment data exposure or mass account takeover. Business impact includes financial loss, service disruption, regulatory penalties, and long-term brand damage. Identity and access control weaknesses represent the most likely and most damaging attack path.</w:t>
      </w:r>
    </w:p>
    <w:p w:rsidR="00000000" w:rsidDel="00000000" w:rsidP="00000000" w:rsidRDefault="00000000" w:rsidRPr="00000000" w14:paraId="0000001F">
      <w:pPr>
        <w:pStyle w:val="Heading1"/>
        <w:rPr/>
      </w:pPr>
      <w:bookmarkStart w:colFirst="0" w:colLast="0" w:name="_nzqwxqu1tvyk" w:id="4"/>
      <w:bookmarkEnd w:id="4"/>
      <w:r w:rsidDel="00000000" w:rsidR="00000000" w:rsidRPr="00000000">
        <w:rPr>
          <w:rtl w:val="0"/>
        </w:rPr>
      </w:r>
    </w:p>
    <w:p w:rsidR="00000000" w:rsidDel="00000000" w:rsidP="00000000" w:rsidRDefault="00000000" w:rsidRPr="00000000" w14:paraId="00000020">
      <w:pPr>
        <w:pStyle w:val="Heading1"/>
        <w:rPr/>
      </w:pPr>
      <w:bookmarkStart w:colFirst="0" w:colLast="0" w:name="_lfso2j335lsf" w:id="5"/>
      <w:bookmarkEnd w:id="5"/>
      <w:r w:rsidDel="00000000" w:rsidR="00000000" w:rsidRPr="00000000">
        <w:rPr>
          <w:rtl w:val="0"/>
        </w:rPr>
      </w:r>
    </w:p>
    <w:p w:rsidR="00000000" w:rsidDel="00000000" w:rsidP="00000000" w:rsidRDefault="00000000" w:rsidRPr="00000000" w14:paraId="00000021">
      <w:pPr>
        <w:pStyle w:val="Heading1"/>
        <w:rPr/>
      </w:pPr>
      <w:bookmarkStart w:colFirst="0" w:colLast="0" w:name="_sanhr35ptgek" w:id="6"/>
      <w:bookmarkEnd w:id="6"/>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crsnkxuc2i8k" w:id="7"/>
      <w:bookmarkEnd w:id="7"/>
      <w:r w:rsidDel="00000000" w:rsidR="00000000" w:rsidRPr="00000000">
        <w:rPr>
          <w:rtl w:val="0"/>
        </w:rPr>
      </w:r>
    </w:p>
    <w:p w:rsidR="00000000" w:rsidDel="00000000" w:rsidP="00000000" w:rsidRDefault="00000000" w:rsidRPr="00000000" w14:paraId="00000026">
      <w:pPr>
        <w:pStyle w:val="Heading1"/>
        <w:rPr/>
      </w:pPr>
      <w:bookmarkStart w:colFirst="0" w:colLast="0" w:name="_nq142h5hb2vq" w:id="8"/>
      <w:bookmarkEnd w:id="8"/>
      <w:r w:rsidDel="00000000" w:rsidR="00000000" w:rsidRPr="00000000">
        <w:rPr>
          <w:rtl w:val="0"/>
        </w:rPr>
        <w:t xml:space="preserve">Solution Roadmap Summary</w:t>
      </w:r>
    </w:p>
    <w:p w:rsidR="00000000" w:rsidDel="00000000" w:rsidP="00000000" w:rsidRDefault="00000000" w:rsidRPr="00000000" w14:paraId="00000027">
      <w:pPr>
        <w:spacing w:after="240" w:before="240" w:lineRule="auto"/>
        <w:rPr/>
      </w:pPr>
      <w:r w:rsidDel="00000000" w:rsidR="00000000" w:rsidRPr="00000000">
        <w:rPr>
          <w:rtl w:val="0"/>
        </w:rPr>
        <w:t xml:space="preserve">The top honeypot recommendation is deployment of a segmented high-interaction decoy environment mimicking development and payment infrastructure. This enables early detection of lateral movement and credential misuse while generating high-fidelity threat intelligence specific to gaming-focused adversaries.</w:t>
      </w:r>
    </w:p>
    <w:p w:rsidR="00000000" w:rsidDel="00000000" w:rsidP="00000000" w:rsidRDefault="00000000" w:rsidRPr="00000000" w14:paraId="00000028">
      <w:pPr>
        <w:spacing w:after="240" w:before="240" w:lineRule="auto"/>
        <w:rPr/>
      </w:pPr>
      <w:r w:rsidDel="00000000" w:rsidR="00000000" w:rsidRPr="00000000">
        <w:rPr>
          <w:rtl w:val="0"/>
        </w:rPr>
        <w:t xml:space="preserve">Priority data source implementation should focus on centralized identity telemetry. This includes authentication logs, privilege elevation events, API access logs, and web application firewall telemetry normalized into a unified SIEM pipeline. Identity correlation across systems will materially reduce mean time to detect.</w:t>
      </w:r>
    </w:p>
    <w:p w:rsidR="00000000" w:rsidDel="00000000" w:rsidP="00000000" w:rsidRDefault="00000000" w:rsidRPr="00000000" w14:paraId="00000029">
      <w:pPr>
        <w:spacing w:after="240" w:before="240" w:lineRule="auto"/>
        <w:rPr/>
      </w:pPr>
      <w:r w:rsidDel="00000000" w:rsidR="00000000" w:rsidRPr="00000000">
        <w:rPr>
          <w:rtl w:val="0"/>
        </w:rPr>
        <w:t xml:space="preserve">The most critical mitigation technique is enforcement of least privilege with mandatory multi-factor authentication for all privileged and developer accounts. Privileged access management with session monitoring should follow immediately after.</w:t>
      </w:r>
    </w:p>
    <w:p w:rsidR="00000000" w:rsidDel="00000000" w:rsidP="00000000" w:rsidRDefault="00000000" w:rsidRPr="00000000" w14:paraId="0000002A">
      <w:pPr>
        <w:spacing w:after="240" w:before="240" w:lineRule="auto"/>
        <w:rPr/>
      </w:pPr>
      <w:r w:rsidDel="00000000" w:rsidR="00000000" w:rsidRPr="00000000">
        <w:rPr>
          <w:rtl w:val="0"/>
        </w:rPr>
        <w:t xml:space="preserve">Implementation should occur in phased sequencing:</w:t>
        <w:br w:type="textWrapping"/>
        <w:t xml:space="preserve"> Phase 1, identity hardening and telemetry normalization.</w:t>
        <w:br w:type="textWrapping"/>
        <w:t xml:space="preserve"> Phase 2, honeypot deployment and detection tuning.</w:t>
        <w:br w:type="textWrapping"/>
        <w:t xml:space="preserve"> Phase 3, application segmentation and continuous control validation.</w:t>
      </w:r>
    </w:p>
    <w:p w:rsidR="00000000" w:rsidDel="00000000" w:rsidP="00000000" w:rsidRDefault="00000000" w:rsidRPr="00000000" w14:paraId="0000002B">
      <w:pPr>
        <w:pStyle w:val="Heading1"/>
        <w:spacing w:after="240" w:before="240" w:lineRule="auto"/>
        <w:rPr/>
      </w:pPr>
      <w:bookmarkStart w:colFirst="0" w:colLast="0" w:name="_oah4b65jmp7c" w:id="9"/>
      <w:bookmarkEnd w:id="9"/>
      <w:r w:rsidDel="00000000" w:rsidR="00000000" w:rsidRPr="00000000">
        <w:rPr>
          <w:rtl w:val="0"/>
        </w:rPr>
      </w:r>
    </w:p>
    <w:p w:rsidR="00000000" w:rsidDel="00000000" w:rsidP="00000000" w:rsidRDefault="00000000" w:rsidRPr="00000000" w14:paraId="0000002C">
      <w:pPr>
        <w:pStyle w:val="Heading1"/>
        <w:spacing w:after="240" w:before="240" w:lineRule="auto"/>
        <w:rPr/>
      </w:pPr>
      <w:bookmarkStart w:colFirst="0" w:colLast="0" w:name="_ko2cuvz4zzcz" w:id="10"/>
      <w:bookmarkEnd w:id="10"/>
      <w:r w:rsidDel="00000000" w:rsidR="00000000" w:rsidRPr="00000000">
        <w:rPr>
          <w:rtl w:val="0"/>
        </w:rPr>
      </w:r>
    </w:p>
    <w:p w:rsidR="00000000" w:rsidDel="00000000" w:rsidP="00000000" w:rsidRDefault="00000000" w:rsidRPr="00000000" w14:paraId="0000002D">
      <w:pPr>
        <w:pStyle w:val="Heading1"/>
        <w:spacing w:after="240" w:before="240" w:lineRule="auto"/>
        <w:rPr/>
      </w:pPr>
      <w:bookmarkStart w:colFirst="0" w:colLast="0" w:name="_rj7zyyr5g60r" w:id="11"/>
      <w:bookmarkEnd w:id="11"/>
      <w:r w:rsidDel="00000000" w:rsidR="00000000" w:rsidRPr="00000000">
        <w:rPr>
          <w:rtl w:val="0"/>
        </w:rPr>
      </w:r>
    </w:p>
    <w:p w:rsidR="00000000" w:rsidDel="00000000" w:rsidP="00000000" w:rsidRDefault="00000000" w:rsidRPr="00000000" w14:paraId="0000002E">
      <w:pPr>
        <w:pStyle w:val="Heading1"/>
        <w:spacing w:after="240" w:before="240" w:lineRule="auto"/>
        <w:rPr/>
      </w:pPr>
      <w:bookmarkStart w:colFirst="0" w:colLast="0" w:name="_n524jqsu9s2j" w:id="12"/>
      <w:bookmarkEnd w:id="12"/>
      <w:r w:rsidDel="00000000" w:rsidR="00000000" w:rsidRPr="00000000">
        <w:rPr>
          <w:rtl w:val="0"/>
        </w:rPr>
        <w:t xml:space="preserve">Closing</w:t>
      </w:r>
    </w:p>
    <w:p w:rsidR="00000000" w:rsidDel="00000000" w:rsidP="00000000" w:rsidRDefault="00000000" w:rsidRPr="00000000" w14:paraId="0000002F">
      <w:pPr>
        <w:rPr/>
      </w:pPr>
      <w:r w:rsidDel="00000000" w:rsidR="00000000" w:rsidRPr="00000000">
        <w:rPr>
          <w:rtl w:val="0"/>
        </w:rPr>
        <w:t xml:space="preserve">Stabilizing identity governance and detection fidelity must precede expansion of tool coverage. Executives should prioritize operational resilience now to prevent preventable compromise later.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58"/>
      <w:szCs w:val="5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