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5C677D"/>
          <w:sz w:val="22"/>
        </w:rPr>
        <w:t>Task A · L2 Support Engineer assessment</w:t>
      </w:r>
    </w:p>
    <w:p>
      <w:r>
        <w:rPr>
          <w:b/>
          <w:sz w:val="48"/>
        </w:rPr>
        <w:t>Trading-holiday scraper</w:t>
      </w:r>
    </w:p>
    <w:p>
      <w:r>
        <w:rPr>
          <w:i/>
          <w:sz w:val="24"/>
        </w:rPr>
        <w:t>How it was built, every logical step it takes, what the live run produced and what it refuses to do</w:t>
      </w:r>
    </w:p>
    <w:p>
      <w:r>
        <w:rPr>
          <w:b/>
        </w:rPr>
        <w:t xml:space="preserve">Live run: </w:t>
      </w:r>
      <w:r>
        <w:rPr>
          <w:i w:val="0"/>
        </w:rPr>
        <w:t>2026-10-19 08:41:28 UTC · overall validation WARN</w:t>
      </w:r>
    </w:p>
    <w:p>
      <w:r>
        <w:rPr>
          <w:b/>
        </w:rPr>
        <w:t xml:space="preserve">Rows: </w:t>
      </w:r>
      <w:r>
        <w:rPr>
          <w:i w:val="0"/>
        </w:rPr>
        <w:t>75: NYSE 34, NASDAQ 12, OPRA 14, CME 15</w:t>
      </w:r>
    </w:p>
    <w:p>
      <w:r>
        <w:rPr>
          <w:b/>
        </w:rPr>
        <w:t xml:space="preserve">Code: </w:t>
      </w:r>
      <w:r>
        <w:rPr>
          <w:i w:val="0"/>
        </w:rPr>
        <w:t>deliverables/taskA_holidays/scraper/ (Python 3.12), offline fixture tests</w:t>
      </w:r>
    </w:p>
    <w:p>
      <w:r>
        <w:rPr>
          <w:b/>
        </w:rPr>
        <w:t xml:space="preserve">Automation: </w:t>
      </w:r>
      <w:r>
        <w:rPr>
          <w:i w:val="0"/>
        </w:rPr>
        <w:t>.github/workflows/trading-holidays.yml, weekly and on demand</w:t>
      </w:r>
    </w:p>
    <w:p>
      <w:r>
        <w:rPr>
          <w:b/>
        </w:rPr>
        <w:t xml:space="preserve">Published to: </w:t>
      </w:r>
      <w:r>
        <w:rPr>
          <w:i w:val="0"/>
        </w:rPr>
        <w:t>Google Drive (CSVs uploaded by hand) and the GitHub repository</w:t>
      </w:r>
    </w:p>
    <w:p>
      <w:r>
        <w:rPr>
          <w:i/>
          <w:color w:val="5C677D"/>
        </w:rPr>
        <w:t>Irakli — L2 Support Engineer candidate · 18 October 2026</w:t>
      </w:r>
    </w:p>
    <w:p>
      <w:pPr>
        <w:pStyle w:val="Heading1"/>
      </w:pPr>
      <w:r>
        <w:t>1. Summary</w:t>
      </w:r>
    </w:p>
    <w:p>
      <w:r>
        <w:rPr>
          <w:i w:val="0"/>
        </w:rPr>
        <w:t>The task was to collect trading holidays and early closes for several US exchanges, normalise them into one schema with UTC times, validate them, and publish them to Google Drive automatically. I treated it as a small production job rather than a one-off script: every source was inspected before a parser was written, every response body is kept on disk, every adapter fails independently, and the validation step reports problems instead of quietly fixing them.</w:t>
      </w:r>
    </w:p>
    <w:p>
      <w:r>
        <w:rPr>
          <w:i w:val="0"/>
        </w:rPr>
        <w:t>The latest run published 75 rows: NYSE 34 (2026–2028), NASDAQ 12 (2026), OPRA 14 (the 2025 schedule) and CME 15 (Thanksgiving and Christmas 2026 plus all of 2027, from Trading Hours files I downloaded by hand). Of the 27 validation checks, 25 passed, 2 warned and 0 failed, so the overall result is WARN.</w:t>
      </w:r>
    </w:p>
    <w:p>
      <w:r>
        <w:rPr>
          <w:i w:val="0"/>
        </w:rPr>
        <w:t>The result is WARN rather than PASS, and that is the right outcome. Every pair of sources that covers the same year agrees: NYSE and NASDAQ on every 2026 date, NYSE and CME on every 2027 date. CME rows come from Trading Hours Holidays Excel files I downloaded into input/cme/ (Equities row only); the site itself is still not scraped. The warnings are year coverage: NASDAQ Trader publishes the current year only, so 2027 is not online yet, and OPRA still serves only the 2025 PDF (2026 returned 403).</w:t>
      </w:r>
    </w:p>
    <w:p>
      <w:pPr>
        <w:pStyle w:val="Heading1"/>
      </w:pPr>
      <w:r>
        <w:t>2. The files on Google Drive</w:t>
      </w:r>
    </w:p>
    <w:p>
      <w:r>
        <w:rPr>
          <w:i w:val="0"/>
        </w:rPr>
        <w:t>These CSVs are the deliverable. The uploader finds each file by name and overwrites it, so a weekly run never creates duplicates. That is why the names must not change.</w:t>
      </w:r>
    </w:p>
    <w:tbl>
      <w:tblPr>
        <w:tblStyle w:val="TableGrid"/>
        <w:tblW w:type="auto" w:w="0"/>
        <w:jc w:val="center"/>
        <w:tblLayout w:type="fixed"/>
        <w:tblLook w:firstColumn="1" w:firstRow="1" w:lastColumn="0" w:lastRow="0" w:noHBand="0" w:noVBand="1" w:val="04A0"/>
        <w:tblLayout w:type="fixed"/>
      </w:tblPr>
      <w:tblGrid>
        <w:gridCol w:w="3175"/>
        <w:gridCol w:w="3515"/>
        <w:gridCol w:w="907"/>
        <w:gridCol w:w="1474"/>
      </w:tblGrid>
      <w:tr>
        <w:trPr>
          <w:cantSplit/>
          <w:tblHeader/>
        </w:trPr>
        <w:tc>
          <w:tcPr>
            <w:tcW w:type="dxa" w:w="3175"/>
            <w:shd w:val="clear" w:color="auto" w:fill="14213D"/>
          </w:tcPr>
          <w:p>
            <w:pPr>
              <w:keepNext/>
            </w:pPr>
            <w:r/>
            <w:r>
              <w:rPr>
                <w:b/>
                <w:color w:val="FFFFFF"/>
                <w:sz w:val="19"/>
              </w:rPr>
              <w:t>File</w:t>
            </w:r>
          </w:p>
        </w:tc>
        <w:tc>
          <w:tcPr>
            <w:tcW w:type="dxa" w:w="3515"/>
            <w:shd w:val="clear" w:color="auto" w:fill="14213D"/>
          </w:tcPr>
          <w:p>
            <w:pPr>
              <w:keepNext/>
            </w:pPr>
            <w:r/>
            <w:r>
              <w:rPr>
                <w:b/>
                <w:color w:val="FFFFFF"/>
                <w:sz w:val="19"/>
              </w:rPr>
              <w:t>Contents</w:t>
            </w:r>
          </w:p>
        </w:tc>
        <w:tc>
          <w:tcPr>
            <w:tcW w:type="dxa" w:w="907"/>
            <w:shd w:val="clear" w:color="auto" w:fill="14213D"/>
          </w:tcPr>
          <w:p>
            <w:pPr>
              <w:keepNext/>
            </w:pPr>
            <w:r/>
            <w:r>
              <w:rPr>
                <w:b/>
                <w:color w:val="FFFFFF"/>
                <w:sz w:val="19"/>
              </w:rPr>
              <w:t>Rows</w:t>
            </w:r>
          </w:p>
        </w:tc>
        <w:tc>
          <w:tcPr>
            <w:tcW w:type="dxa" w:w="1474"/>
            <w:shd w:val="clear" w:color="auto" w:fill="14213D"/>
          </w:tcPr>
          <w:p>
            <w:pPr>
              <w:keepNext/>
            </w:pPr>
            <w:r/>
            <w:r>
              <w:rPr>
                <w:b/>
                <w:color w:val="FFFFFF"/>
                <w:sz w:val="19"/>
              </w:rPr>
              <w:t>Size</w:t>
            </w:r>
          </w:p>
        </w:tc>
      </w:tr>
      <w:tr>
        <w:trPr>
          <w:cantSplit/>
        </w:trPr>
        <w:tc>
          <w:tcPr>
            <w:tcW w:type="dxa" w:w="3175"/>
          </w:tcPr>
          <w:p>
            <w:pPr>
              <w:keepNext/>
            </w:pPr>
            <w:r/>
            <w:r>
              <w:rPr>
                <w:sz w:val="19"/>
              </w:rPr>
              <w:t>trading_holidays_combined.csv</w:t>
            </w:r>
          </w:p>
        </w:tc>
        <w:tc>
          <w:tcPr>
            <w:tcW w:type="dxa" w:w="3515"/>
          </w:tcPr>
          <w:p>
            <w:pPr>
              <w:keepNext/>
            </w:pPr>
            <w:r/>
            <w:r>
              <w:rPr>
                <w:sz w:val="19"/>
              </w:rPr>
              <w:t>Every exchange in one table</w:t>
            </w:r>
          </w:p>
        </w:tc>
        <w:tc>
          <w:tcPr>
            <w:tcW w:type="dxa" w:w="907"/>
          </w:tcPr>
          <w:p>
            <w:pPr>
              <w:keepNext/>
            </w:pPr>
            <w:r/>
            <w:r>
              <w:rPr>
                <w:sz w:val="19"/>
              </w:rPr>
              <w:t>75</w:t>
            </w:r>
          </w:p>
        </w:tc>
        <w:tc>
          <w:tcPr>
            <w:tcW w:type="dxa" w:w="1474"/>
          </w:tcPr>
          <w:p>
            <w:pPr>
              <w:keepNext/>
            </w:pPr>
            <w:r/>
            <w:r>
              <w:rPr>
                <w:sz w:val="19"/>
              </w:rPr>
              <w:t>20,387 B</w:t>
            </w:r>
          </w:p>
        </w:tc>
      </w:tr>
      <w:tr>
        <w:trPr>
          <w:cantSplit/>
        </w:trPr>
        <w:tc>
          <w:tcPr>
            <w:tcW w:type="dxa" w:w="3175"/>
            <w:shd w:val="clear" w:color="auto" w:fill="F4F6FA"/>
          </w:tcPr>
          <w:p>
            <w:pPr>
              <w:keepNext/>
            </w:pPr>
            <w:r/>
            <w:r>
              <w:rPr>
                <w:sz w:val="19"/>
              </w:rPr>
              <w:t>trading_holidays_NYSE.csv</w:t>
            </w:r>
          </w:p>
        </w:tc>
        <w:tc>
          <w:tcPr>
            <w:tcW w:type="dxa" w:w="3515"/>
            <w:shd w:val="clear" w:color="auto" w:fill="F4F6FA"/>
          </w:tcPr>
          <w:p>
            <w:pPr>
              <w:keepNext/>
            </w:pPr>
            <w:r/>
            <w:r>
              <w:rPr>
                <w:sz w:val="19"/>
              </w:rPr>
              <w:t>NYSE 2026–2028</w:t>
            </w:r>
          </w:p>
        </w:tc>
        <w:tc>
          <w:tcPr>
            <w:tcW w:type="dxa" w:w="907"/>
            <w:shd w:val="clear" w:color="auto" w:fill="F4F6FA"/>
          </w:tcPr>
          <w:p>
            <w:pPr>
              <w:keepNext/>
            </w:pPr>
            <w:r/>
            <w:r>
              <w:rPr>
                <w:sz w:val="19"/>
              </w:rPr>
              <w:t>34</w:t>
            </w:r>
          </w:p>
        </w:tc>
        <w:tc>
          <w:tcPr>
            <w:tcW w:type="dxa" w:w="1474"/>
            <w:shd w:val="clear" w:color="auto" w:fill="F4F6FA"/>
          </w:tcPr>
          <w:p>
            <w:pPr>
              <w:keepNext/>
            </w:pPr>
            <w:r/>
            <w:r>
              <w:rPr>
                <w:sz w:val="19"/>
              </w:rPr>
              <w:t>9,092 B</w:t>
            </w:r>
          </w:p>
        </w:tc>
      </w:tr>
      <w:tr>
        <w:trPr>
          <w:cantSplit/>
        </w:trPr>
        <w:tc>
          <w:tcPr>
            <w:tcW w:type="dxa" w:w="3175"/>
          </w:tcPr>
          <w:p>
            <w:pPr>
              <w:keepNext/>
            </w:pPr>
            <w:r/>
            <w:r>
              <w:rPr>
                <w:sz w:val="19"/>
              </w:rPr>
              <w:t>trading_holidays_NASDAQ.csv</w:t>
            </w:r>
          </w:p>
        </w:tc>
        <w:tc>
          <w:tcPr>
            <w:tcW w:type="dxa" w:w="3515"/>
          </w:tcPr>
          <w:p>
            <w:pPr>
              <w:keepNext/>
            </w:pPr>
            <w:r/>
            <w:r>
              <w:rPr>
                <w:sz w:val="19"/>
              </w:rPr>
              <w:t>NASDAQ 2026 (only year published; no 2027 yet)</w:t>
            </w:r>
          </w:p>
        </w:tc>
        <w:tc>
          <w:tcPr>
            <w:tcW w:type="dxa" w:w="907"/>
          </w:tcPr>
          <w:p>
            <w:pPr>
              <w:keepNext/>
            </w:pPr>
            <w:r/>
            <w:r>
              <w:rPr>
                <w:sz w:val="19"/>
              </w:rPr>
              <w:t>12</w:t>
            </w:r>
          </w:p>
        </w:tc>
        <w:tc>
          <w:tcPr>
            <w:tcW w:type="dxa" w:w="1474"/>
          </w:tcPr>
          <w:p>
            <w:pPr>
              <w:keepNext/>
            </w:pPr>
            <w:r/>
            <w:r>
              <w:rPr>
                <w:sz w:val="19"/>
              </w:rPr>
              <w:t>2,864 B</w:t>
            </w:r>
          </w:p>
        </w:tc>
      </w:tr>
      <w:tr>
        <w:trPr>
          <w:cantSplit/>
        </w:trPr>
        <w:tc>
          <w:tcPr>
            <w:tcW w:type="dxa" w:w="3175"/>
            <w:shd w:val="clear" w:color="auto" w:fill="F4F6FA"/>
          </w:tcPr>
          <w:p>
            <w:pPr>
              <w:keepNext/>
            </w:pPr>
            <w:r/>
            <w:r>
              <w:rPr>
                <w:sz w:val="19"/>
              </w:rPr>
              <w:t>trading_holidays_OPRA.csv</w:t>
            </w:r>
          </w:p>
        </w:tc>
        <w:tc>
          <w:tcPr>
            <w:tcW w:type="dxa" w:w="3515"/>
            <w:shd w:val="clear" w:color="auto" w:fill="F4F6FA"/>
          </w:tcPr>
          <w:p>
            <w:pPr>
              <w:keepNext/>
            </w:pPr>
            <w:r/>
            <w:r>
              <w:rPr>
                <w:sz w:val="19"/>
              </w:rPr>
              <w:t>OPRA, from the 2025 schedule PDF (no 2026/2027 PDF)</w:t>
            </w:r>
          </w:p>
        </w:tc>
        <w:tc>
          <w:tcPr>
            <w:tcW w:type="dxa" w:w="907"/>
            <w:shd w:val="clear" w:color="auto" w:fill="F4F6FA"/>
          </w:tcPr>
          <w:p>
            <w:pPr>
              <w:keepNext/>
            </w:pPr>
            <w:r/>
            <w:r>
              <w:rPr>
                <w:sz w:val="19"/>
              </w:rPr>
              <w:t>14</w:t>
            </w:r>
          </w:p>
        </w:tc>
        <w:tc>
          <w:tcPr>
            <w:tcW w:type="dxa" w:w="1474"/>
            <w:shd w:val="clear" w:color="auto" w:fill="F4F6FA"/>
          </w:tcPr>
          <w:p>
            <w:pPr>
              <w:keepNext/>
            </w:pPr>
            <w:r/>
            <w:r>
              <w:rPr>
                <w:sz w:val="19"/>
              </w:rPr>
              <w:t>4,579 B</w:t>
            </w:r>
          </w:p>
        </w:tc>
      </w:tr>
      <w:tr>
        <w:trPr>
          <w:cantSplit/>
        </w:trPr>
        <w:tc>
          <w:tcPr>
            <w:tcW w:type="dxa" w:w="3175"/>
          </w:tcPr>
          <w:p>
            <w:r/>
            <w:r>
              <w:rPr>
                <w:sz w:val="19"/>
              </w:rPr>
              <w:t>trading_holidays_CME.csv</w:t>
            </w:r>
          </w:p>
        </w:tc>
        <w:tc>
          <w:tcPr>
            <w:tcW w:type="dxa" w:w="3515"/>
          </w:tcPr>
          <w:p>
            <w:r/>
            <w:r>
              <w:rPr>
                <w:sz w:val="19"/>
              </w:rPr>
              <w:t>CME Globex Equities from manual Trading Hours xlsx</w:t>
            </w:r>
          </w:p>
        </w:tc>
        <w:tc>
          <w:tcPr>
            <w:tcW w:type="dxa" w:w="907"/>
          </w:tcPr>
          <w:p>
            <w:r/>
            <w:r>
              <w:rPr>
                <w:sz w:val="19"/>
              </w:rPr>
              <w:t>15</w:t>
            </w:r>
          </w:p>
        </w:tc>
        <w:tc>
          <w:tcPr>
            <w:tcW w:type="dxa" w:w="1474"/>
          </w:tcPr>
          <w:p>
            <w:r/>
            <w:r>
              <w:rPr>
                <w:sz w:val="19"/>
              </w:rPr>
              <w:t>4,311 B</w:t>
            </w:r>
          </w:p>
        </w:tc>
      </w:tr>
    </w:tbl>
    <w:p/>
    <w:p>
      <w:r>
        <w:rPr>
          <w:i w:val="0"/>
        </w:rPr>
        <w:t>Not uploaded: _previous_combined.csv (the baseline for the run-to-run diff), run_meta.json and upload_manifest.json (internal bookkeeping), and raw/ (evidence, not the calendar). When the Drive secrets are configured the job also builds one Google Sheet, trading_holidays, with a tab per exchange and a validation tab. The live run was a dry run; I uploaded the files above to Drive by hand, so the Drive API path itself is still unverified.</w:t>
      </w:r>
    </w:p>
    <w:tbl>
      <w:tblPr>
        <w:tblStyle w:val="TableGrid"/>
        <w:tblW w:type="auto" w:w="0"/>
        <w:jc w:val="center"/>
        <w:tblLayout w:type="fixed"/>
        <w:tblLook w:firstColumn="1" w:firstRow="1" w:lastColumn="0" w:lastRow="0" w:noHBand="0" w:noVBand="1" w:val="04A0"/>
        <w:tblLayout w:type="fixed"/>
      </w:tblPr>
      <w:tblGrid>
        <w:gridCol w:w="3402"/>
        <w:gridCol w:w="6009"/>
      </w:tblGrid>
      <w:tr>
        <w:trPr>
          <w:cantSplit/>
          <w:tblHeader/>
        </w:trPr>
        <w:tc>
          <w:tcPr>
            <w:tcW w:type="dxa" w:w="3402"/>
            <w:shd w:val="clear" w:color="auto" w:fill="14213D"/>
          </w:tcPr>
          <w:p>
            <w:pPr>
              <w:keepNext/>
            </w:pPr>
            <w:r/>
            <w:r>
              <w:rPr>
                <w:b/>
                <w:color w:val="FFFFFF"/>
                <w:sz w:val="19"/>
              </w:rPr>
              <w:t>Column</w:t>
            </w:r>
          </w:p>
        </w:tc>
        <w:tc>
          <w:tcPr>
            <w:tcW w:type="dxa" w:w="6009"/>
            <w:shd w:val="clear" w:color="auto" w:fill="14213D"/>
          </w:tcPr>
          <w:p>
            <w:pPr>
              <w:keepNext/>
            </w:pPr>
            <w:r/>
            <w:r>
              <w:rPr>
                <w:b/>
                <w:color w:val="FFFFFF"/>
                <w:sz w:val="19"/>
              </w:rPr>
              <w:t>Meaning</w:t>
            </w:r>
          </w:p>
        </w:tc>
      </w:tr>
      <w:tr>
        <w:trPr>
          <w:cantSplit/>
        </w:trPr>
        <w:tc>
          <w:tcPr>
            <w:tcW w:type="dxa" w:w="3402"/>
          </w:tcPr>
          <w:p>
            <w:pPr>
              <w:keepNext/>
            </w:pPr>
            <w:r/>
            <w:r>
              <w:rPr>
                <w:sz w:val="19"/>
              </w:rPr>
              <w:t>exchange</w:t>
            </w:r>
          </w:p>
        </w:tc>
        <w:tc>
          <w:tcPr>
            <w:tcW w:type="dxa" w:w="6009"/>
          </w:tcPr>
          <w:p>
            <w:pPr>
              <w:keepNext/>
            </w:pPr>
            <w:r/>
            <w:r>
              <w:rPr>
                <w:sz w:val="19"/>
              </w:rPr>
              <w:t>NYSE, NASDAQ, OPRA or CME</w:t>
            </w:r>
          </w:p>
        </w:tc>
      </w:tr>
      <w:tr>
        <w:trPr>
          <w:cantSplit/>
        </w:trPr>
        <w:tc>
          <w:tcPr>
            <w:tcW w:type="dxa" w:w="3402"/>
            <w:shd w:val="clear" w:color="auto" w:fill="F4F6FA"/>
          </w:tcPr>
          <w:p>
            <w:pPr>
              <w:keepNext/>
            </w:pPr>
            <w:r/>
            <w:r>
              <w:rPr>
                <w:sz w:val="19"/>
              </w:rPr>
              <w:t>date</w:t>
            </w:r>
          </w:p>
        </w:tc>
        <w:tc>
          <w:tcPr>
            <w:tcW w:type="dxa" w:w="6009"/>
            <w:shd w:val="clear" w:color="auto" w:fill="F4F6FA"/>
          </w:tcPr>
          <w:p>
            <w:pPr>
              <w:keepNext/>
            </w:pPr>
            <w:r/>
            <w:r>
              <w:rPr>
                <w:sz w:val="19"/>
              </w:rPr>
              <w:t>Session date, ISO format</w:t>
            </w:r>
          </w:p>
        </w:tc>
      </w:tr>
      <w:tr>
        <w:trPr>
          <w:cantSplit/>
        </w:trPr>
        <w:tc>
          <w:tcPr>
            <w:tcW w:type="dxa" w:w="3402"/>
          </w:tcPr>
          <w:p>
            <w:pPr>
              <w:keepNext/>
            </w:pPr>
            <w:r/>
            <w:r>
              <w:rPr>
                <w:sz w:val="19"/>
              </w:rPr>
              <w:t>holiday_name / canonical_name</w:t>
            </w:r>
          </w:p>
        </w:tc>
        <w:tc>
          <w:tcPr>
            <w:tcW w:type="dxa" w:w="6009"/>
          </w:tcPr>
          <w:p>
            <w:pPr>
              <w:keepNext/>
            </w:pPr>
            <w:r/>
            <w:r>
              <w:rPr>
                <w:sz w:val="19"/>
              </w:rPr>
              <w:t>Name as published / normalised name used for cross-exchange comparison</w:t>
            </w:r>
          </w:p>
        </w:tc>
      </w:tr>
      <w:tr>
        <w:trPr>
          <w:cantSplit/>
        </w:trPr>
        <w:tc>
          <w:tcPr>
            <w:tcW w:type="dxa" w:w="3402"/>
            <w:shd w:val="clear" w:color="auto" w:fill="F4F6FA"/>
          </w:tcPr>
          <w:p>
            <w:pPr>
              <w:keepNext/>
            </w:pPr>
            <w:r/>
            <w:r>
              <w:rPr>
                <w:sz w:val="19"/>
              </w:rPr>
              <w:t>status</w:t>
            </w:r>
          </w:p>
        </w:tc>
        <w:tc>
          <w:tcPr>
            <w:tcW w:type="dxa" w:w="6009"/>
            <w:shd w:val="clear" w:color="auto" w:fill="F4F6FA"/>
          </w:tcPr>
          <w:p>
            <w:pPr>
              <w:keepNext/>
            </w:pPr>
            <w:r/>
            <w:r>
              <w:rPr>
                <w:sz w:val="19"/>
              </w:rPr>
              <w:t>closed or early_close</w:t>
            </w:r>
          </w:p>
        </w:tc>
      </w:tr>
      <w:tr>
        <w:trPr>
          <w:cantSplit/>
        </w:trPr>
        <w:tc>
          <w:tcPr>
            <w:tcW w:type="dxa" w:w="3402"/>
          </w:tcPr>
          <w:p>
            <w:pPr>
              <w:keepNext/>
            </w:pPr>
            <w:r/>
            <w:r>
              <w:rPr>
                <w:sz w:val="19"/>
              </w:rPr>
              <w:t>close_time_local, timezone, close_time_utc</w:t>
            </w:r>
          </w:p>
        </w:tc>
        <w:tc>
          <w:tcPr>
            <w:tcW w:type="dxa" w:w="6009"/>
          </w:tcPr>
          <w:p>
            <w:pPr>
              <w:keepNext/>
            </w:pPr>
            <w:r/>
            <w:r>
              <w:rPr>
                <w:sz w:val="19"/>
              </w:rPr>
              <w:t>Early-close time in the exchange's zone and converted to UTC with zoneinfo (DST-correct)</w:t>
            </w:r>
          </w:p>
        </w:tc>
      </w:tr>
      <w:tr>
        <w:trPr>
          <w:cantSplit/>
        </w:trPr>
        <w:tc>
          <w:tcPr>
            <w:tcW w:type="dxa" w:w="3402"/>
            <w:shd w:val="clear" w:color="auto" w:fill="F4F6FA"/>
          </w:tcPr>
          <w:p>
            <w:pPr>
              <w:keepNext/>
            </w:pPr>
            <w:r/>
            <w:r>
              <w:rPr>
                <w:sz w:val="19"/>
              </w:rPr>
              <w:t>session_or_product_scope</w:t>
            </w:r>
          </w:p>
        </w:tc>
        <w:tc>
          <w:tcPr>
            <w:tcW w:type="dxa" w:w="6009"/>
            <w:shd w:val="clear" w:color="auto" w:fill="F4F6FA"/>
          </w:tcPr>
          <w:p>
            <w:pPr>
              <w:keepNext/>
            </w:pPr>
            <w:r/>
            <w:r>
              <w:rPr>
                <w:sz w:val="19"/>
              </w:rPr>
              <w:t>Which session or product the row applies to</w:t>
            </w:r>
          </w:p>
        </w:tc>
      </w:tr>
      <w:tr>
        <w:trPr>
          <w:cantSplit/>
        </w:trPr>
        <w:tc>
          <w:tcPr>
            <w:tcW w:type="dxa" w:w="3402"/>
          </w:tcPr>
          <w:p>
            <w:r/>
            <w:r>
              <w:rPr>
                <w:sz w:val="19"/>
              </w:rPr>
              <w:t>source_url, scraped_at_utc, source_year</w:t>
            </w:r>
          </w:p>
        </w:tc>
        <w:tc>
          <w:tcPr>
            <w:tcW w:type="dxa" w:w="6009"/>
          </w:tcPr>
          <w:p>
            <w:r/>
            <w:r>
              <w:rPr>
                <w:sz w:val="19"/>
              </w:rPr>
              <w:t>Provenance: where, when, and which year's publication</w:t>
            </w:r>
          </w:p>
        </w:tc>
      </w:tr>
    </w:tbl>
    <w:p/>
    <w:p>
      <w:pPr>
        <w:pStyle w:val="Heading1"/>
      </w:pPr>
      <w:r>
        <w:t>3. How the scraper works</w:t>
      </w:r>
    </w:p>
    <w:p>
      <w:r>
        <w:rPr>
          <w:i w:val="0"/>
        </w:rPr>
        <w:t>There is one entry point, python -m scraper.run. It stamps a single UTC timestamp for the whole run (so a slow adapter cannot make one file look like two runs), calls the adapters in order, normalises the rows, validates them, writes the files and, if asked, uploads. Every fetched body is kept under raw/, and a crash in one adapter never stops the others. The steps below follow that order.</w:t>
      </w:r>
    </w:p>
    <w:p>
      <w:pPr>
        <w:pStyle w:val="Heading2"/>
      </w:pPr>
      <w:r>
        <w:t>Step 1: Reconnaissance before any parser</w:t>
      </w:r>
    </w:p>
    <w:p>
      <w:r>
        <w:rPr>
          <w:i w:val="0"/>
        </w:rPr>
        <w:t>Each candidate source was opened once and saved under raw/_recon_2026-10-16/ before I trusted it. Two of the five obvious URLs turned out to be the wrong choice, which is exactly why this step exists.</w:t>
      </w:r>
    </w:p>
    <w:tbl>
      <w:tblPr>
        <w:tblStyle w:val="TableGrid"/>
        <w:tblW w:type="auto" w:w="0"/>
        <w:jc w:val="center"/>
        <w:tblLayout w:type="fixed"/>
        <w:tblLook w:firstColumn="1" w:firstRow="1" w:lastColumn="0" w:lastRow="0" w:noHBand="0" w:noVBand="1" w:val="04A0"/>
        <w:tblLayout w:type="fixed"/>
      </w:tblPr>
      <w:tblGrid>
        <w:gridCol w:w="2154"/>
        <w:gridCol w:w="4649"/>
        <w:gridCol w:w="2608"/>
      </w:tblGrid>
      <w:tr>
        <w:trPr>
          <w:cantSplit/>
          <w:tblHeader/>
        </w:trPr>
        <w:tc>
          <w:tcPr>
            <w:tcW w:type="dxa" w:w="2154"/>
            <w:shd w:val="clear" w:color="auto" w:fill="14213D"/>
          </w:tcPr>
          <w:p>
            <w:pPr>
              <w:keepNext/>
            </w:pPr>
            <w:r/>
            <w:r>
              <w:rPr>
                <w:b/>
                <w:color w:val="FFFFFF"/>
                <w:sz w:val="19"/>
              </w:rPr>
              <w:t>Source</w:t>
            </w:r>
          </w:p>
        </w:tc>
        <w:tc>
          <w:tcPr>
            <w:tcW w:type="dxa" w:w="4649"/>
            <w:shd w:val="clear" w:color="auto" w:fill="14213D"/>
          </w:tcPr>
          <w:p>
            <w:pPr>
              <w:keepNext/>
            </w:pPr>
            <w:r/>
            <w:r>
              <w:rPr>
                <w:b/>
                <w:color w:val="FFFFFF"/>
                <w:sz w:val="19"/>
              </w:rPr>
              <w:t>What I found</w:t>
            </w:r>
          </w:p>
        </w:tc>
        <w:tc>
          <w:tcPr>
            <w:tcW w:type="dxa" w:w="2608"/>
            <w:shd w:val="clear" w:color="auto" w:fill="14213D"/>
          </w:tcPr>
          <w:p>
            <w:pPr>
              <w:keepNext/>
            </w:pPr>
            <w:r/>
            <w:r>
              <w:rPr>
                <w:b/>
                <w:color w:val="FFFFFF"/>
                <w:sz w:val="19"/>
              </w:rPr>
              <w:t>Decision</w:t>
            </w:r>
          </w:p>
        </w:tc>
      </w:tr>
      <w:tr>
        <w:trPr>
          <w:cantSplit/>
        </w:trPr>
        <w:tc>
          <w:tcPr>
            <w:tcW w:type="dxa" w:w="2154"/>
          </w:tcPr>
          <w:p>
            <w:pPr>
              <w:keepNext/>
            </w:pPr>
            <w:r/>
            <w:r>
              <w:rPr>
                <w:sz w:val="19"/>
              </w:rPr>
              <w:t>nyse.com hours-calendars</w:t>
            </w:r>
          </w:p>
        </w:tc>
        <w:tc>
          <w:tcPr>
            <w:tcW w:type="dxa" w:w="4649"/>
          </w:tcPr>
          <w:p>
            <w:pPr>
              <w:keepNext/>
            </w:pPr>
            <w:r/>
            <w:r>
              <w:rPr>
                <w:sz w:val="19"/>
              </w:rPr>
              <w:t>Static HTML table for 2026–2028; early closes only in footnotes</w:t>
            </w:r>
          </w:p>
        </w:tc>
        <w:tc>
          <w:tcPr>
            <w:tcW w:type="dxa" w:w="2608"/>
          </w:tcPr>
          <w:p>
            <w:pPr>
              <w:keepNext/>
            </w:pPr>
            <w:r/>
            <w:r>
              <w:rPr>
                <w:sz w:val="19"/>
              </w:rPr>
              <w:t>Scrape the HTML</w:t>
            </w:r>
          </w:p>
        </w:tc>
      </w:tr>
      <w:tr>
        <w:trPr>
          <w:cantSplit/>
        </w:trPr>
        <w:tc>
          <w:tcPr>
            <w:tcW w:type="dxa" w:w="2154"/>
            <w:shd w:val="clear" w:color="auto" w:fill="F4F6FA"/>
          </w:tcPr>
          <w:p>
            <w:pPr>
              <w:keepNext/>
            </w:pPr>
            <w:r/>
            <w:r>
              <w:rPr>
                <w:sz w:val="19"/>
              </w:rPr>
              <w:t>nasdaq.com holiday page</w:t>
            </w:r>
          </w:p>
        </w:tc>
        <w:tc>
          <w:tcPr>
            <w:tcW w:type="dxa" w:w="4649"/>
            <w:shd w:val="clear" w:color="auto" w:fill="F4F6FA"/>
          </w:tcPr>
          <w:p>
            <w:pPr>
              <w:keepNext/>
            </w:pPr>
            <w:r/>
            <w:r>
              <w:rPr>
                <w:sz w:val="19"/>
              </w:rPr>
              <w:t>Non-browser clients time out or get an HTTP/2 reset</w:t>
            </w:r>
          </w:p>
        </w:tc>
        <w:tc>
          <w:tcPr>
            <w:tcW w:type="dxa" w:w="2608"/>
            <w:shd w:val="clear" w:color="auto" w:fill="F4F6FA"/>
          </w:tcPr>
          <w:p>
            <w:pPr>
              <w:keepNext/>
            </w:pPr>
            <w:r/>
            <w:r>
              <w:rPr>
                <w:sz w:val="19"/>
              </w:rPr>
              <w:t>Fallback only (Playwright)</w:t>
            </w:r>
          </w:p>
        </w:tc>
      </w:tr>
      <w:tr>
        <w:trPr>
          <w:cantSplit/>
        </w:trPr>
        <w:tc>
          <w:tcPr>
            <w:tcW w:type="dxa" w:w="2154"/>
          </w:tcPr>
          <w:p>
            <w:pPr>
              <w:keepNext/>
            </w:pPr>
            <w:r/>
            <w:r>
              <w:rPr>
                <w:sz w:val="19"/>
              </w:rPr>
              <w:t>nasdaqtrader.com Calendar</w:t>
            </w:r>
          </w:p>
        </w:tc>
        <w:tc>
          <w:tcPr>
            <w:tcW w:type="dxa" w:w="4649"/>
          </w:tcPr>
          <w:p>
            <w:pPr>
              <w:keepNext/>
            </w:pPr>
            <w:r/>
            <w:r>
              <w:rPr>
                <w:sz w:val="19"/>
              </w:rPr>
              <w:t>Official operations page, same 2026 table over plain HTTPS</w:t>
            </w:r>
          </w:p>
        </w:tc>
        <w:tc>
          <w:tcPr>
            <w:tcW w:type="dxa" w:w="2608"/>
          </w:tcPr>
          <w:p>
            <w:pPr>
              <w:keepNext/>
            </w:pPr>
            <w:r/>
            <w:r>
              <w:rPr>
                <w:sz w:val="19"/>
              </w:rPr>
              <w:t>Primary NASDAQ source</w:t>
            </w:r>
          </w:p>
        </w:tc>
      </w:tr>
      <w:tr>
        <w:trPr>
          <w:cantSplit/>
        </w:trPr>
        <w:tc>
          <w:tcPr>
            <w:tcW w:type="dxa" w:w="2154"/>
            <w:shd w:val="clear" w:color="auto" w:fill="F4F6FA"/>
          </w:tcPr>
          <w:p>
            <w:pPr>
              <w:keepNext/>
            </w:pPr>
            <w:r/>
            <w:r>
              <w:rPr>
                <w:sz w:val="19"/>
              </w:rPr>
              <w:t>opraplan.com</w:t>
            </w:r>
          </w:p>
        </w:tc>
        <w:tc>
          <w:tcPr>
            <w:tcW w:type="dxa" w:w="4649"/>
            <w:shd w:val="clear" w:color="auto" w:fill="F4F6FA"/>
          </w:tcPr>
          <w:p>
            <w:pPr>
              <w:keepNext/>
            </w:pPr>
            <w:r/>
            <w:r>
              <w:rPr>
                <w:sz w:val="19"/>
              </w:rPr>
              <w:t>Yearly holiday PDF linked from the homepage (theocc.com is the clearing house and returns 403)</w:t>
            </w:r>
          </w:p>
        </w:tc>
        <w:tc>
          <w:tcPr>
            <w:tcW w:type="dxa" w:w="2608"/>
            <w:shd w:val="clear" w:color="auto" w:fill="F4F6FA"/>
          </w:tcPr>
          <w:p>
            <w:pPr>
              <w:keepNext/>
            </w:pPr>
            <w:r/>
            <w:r>
              <w:rPr>
                <w:sz w:val="19"/>
              </w:rPr>
              <w:t>Follow the PDF links</w:t>
            </w:r>
          </w:p>
        </w:tc>
      </w:tr>
      <w:tr>
        <w:trPr>
          <w:cantSplit/>
        </w:trPr>
        <w:tc>
          <w:tcPr>
            <w:tcW w:type="dxa" w:w="2154"/>
          </w:tcPr>
          <w:p>
            <w:r/>
            <w:r>
              <w:rPr>
                <w:sz w:val="19"/>
              </w:rPr>
              <w:t>cmegroup.com</w:t>
            </w:r>
          </w:p>
        </w:tc>
        <w:tc>
          <w:tcPr>
            <w:tcW w:type="dxa" w:w="4649"/>
          </w:tcPr>
          <w:p>
            <w:r/>
            <w:r>
              <w:rPr>
                <w:sz w:val="19"/>
              </w:rPr>
              <w:t>HTTP 403 even for robots.txt; Data Terms of Use prohibit scripts</w:t>
            </w:r>
          </w:p>
        </w:tc>
        <w:tc>
          <w:tcPr>
            <w:tcW w:type="dxa" w:w="2608"/>
          </w:tcPr>
          <w:p>
            <w:r/>
            <w:r>
              <w:rPr>
                <w:sz w:val="19"/>
              </w:rPr>
              <w:t>Do not scrape; read operator files</w:t>
            </w:r>
          </w:p>
        </w:tc>
      </w:tr>
    </w:tbl>
    <w:p/>
    <w:p>
      <w:pPr>
        <w:pStyle w:val="Heading2"/>
      </w:pPr>
      <w:r>
        <w:t>Step 2: Fetch politely, keep everything</w:t>
      </w:r>
    </w:p>
    <w:p>
      <w:r>
        <w:rPr>
          <w:i w:val="0"/>
        </w:rPr>
        <w:t>All adapters share one fetch method. It sends normal browser headers (to identify the client, not to evade anything), saves every 200 response under raw/&lt;exchange&gt;/&lt;run&gt;/, and treats status codes differently on purpose:</w:t>
      </w:r>
    </w:p>
    <w:p>
      <w:pPr>
        <w:pStyle w:val="ListBullet"/>
      </w:pPr>
      <w:r>
        <w:rPr>
          <w:b/>
        </w:rPr>
        <w:t xml:space="preserve">401, 403, 404: </w:t>
      </w:r>
      <w:r>
        <w:t>saved with an .httpNNN suffix and raised immediately and never retried. A site that has said no is not asked again.</w:t>
      </w:r>
    </w:p>
    <w:p>
      <w:pPr>
        <w:pStyle w:val="ListBullet"/>
      </w:pPr>
      <w:r>
        <w:rPr>
          <w:b/>
        </w:rPr>
        <w:t xml:space="preserve">429 and 5xx: </w:t>
      </w:r>
      <w:r>
        <w:t>wait for Retry-After if given, otherwise 2^attempt plus jitter, then retry.</w:t>
      </w:r>
    </w:p>
    <w:p>
      <w:pPr>
        <w:pStyle w:val="ListBullet"/>
      </w:pPr>
      <w:r>
        <w:rPr>
          <w:b/>
        </w:rPr>
        <w:t xml:space="preserve">Network errors: </w:t>
      </w:r>
      <w:r>
        <w:t>retried the same way, except for NASDAQ, where a connection reset means 'this client is refused'; it gets two quick tries and moves to the next source.</w:t>
      </w:r>
    </w:p>
    <w:p>
      <w:pPr>
        <w:pStyle w:val="Heading2"/>
      </w:pPr>
      <w:r>
        <w:t>Step 3: Parse each exchange</w:t>
      </w:r>
    </w:p>
    <w:p>
      <w:pPr>
        <w:pStyle w:val="Heading3"/>
      </w:pPr>
      <w:r>
        <w:t>NYSE</w:t>
      </w:r>
    </w:p>
    <w:p>
      <w:r>
        <w:rPr>
          <w:i w:val="0"/>
        </w:rPr>
        <w:t>The page has one table: holiday names down the side and one column per year. A cell with a date becomes a closed row for that year; a cell with a dash means 'not observed' and produces a note, not an invented date: New Year's Day 2028 falls on a Saturday and NYSE publishes a dash, so there is no row. Early closes are not in the table at all; they live in the footnotes ('…will close early at 1:00 p.m. on…'). The adapter keeps the footnote text, finds the time and the weekday dates in it, and turns each into an early_close row. Live result: 29 closes and 5 early closes across 2026–2028.</w:t>
      </w:r>
    </w:p>
    <w:p>
      <w:pPr>
        <w:pStyle w:val="Heading3"/>
      </w:pPr>
      <w:r>
        <w:t>NASDAQ</w:t>
      </w:r>
    </w:p>
    <w:p>
      <w:r>
        <w:rPr>
          <w:i w:val="0"/>
        </w:rPr>
        <w:t>nasdaqtrader.com is tried first, with short timeouts. Its table is 'year | Holiday | Status'; a status containing a time is an early close at that local time. If it fails, headless Chromium opens the public nasdaq.com page and the rendered HTML is parsed instead. No stealth plugins, no proxies. If both fail, NASDAQ ships zero rows with a SOURCE_UNAVAILABLE note and the other exchanges still publish. Live result: nasdaqtrader.com answered with 12 rows; the Playwright fallback is tested on a saved page but was not needed live.</w:t>
      </w:r>
    </w:p>
    <w:p>
      <w:pPr>
        <w:pStyle w:val="Heading3"/>
      </w:pPr>
      <w:r>
        <w:t>OPRA</w:t>
      </w:r>
    </w:p>
    <w:p>
      <w:r>
        <w:rPr>
          <w:i w:val="0"/>
        </w:rPr>
        <w:t>OPRA publishes one PDF per year, linked from its homepage. The adapter collects links whose text says 'holiday schedule' with a year from last year onwards, downloads them a second apart, and reads them with pdfplumber: 'HOLIDAY NAME  Month D' lines are closes, and the asterisked footnote lists the 13:00 ET early closes. On 16 October only the 2025 PDF was linked (the 2026 URL returned 403), so OPRA ships 14 rows from 2025, including 1 January 2026 printed on the 2025 notice.</w:t>
      </w:r>
    </w:p>
    <w:p>
      <w:pPr>
        <w:pStyle w:val="Heading3"/>
      </w:pPr>
      <w:r>
        <w:t>CME: no scrape, parse operator downloads</w:t>
      </w:r>
    </w:p>
    <w:p>
      <w:r>
        <w:rPr>
          <w:i w:val="0"/>
        </w:rPr>
        <w:t>There is no single CME holiday calendar: equity index, rates, energy and agriculture differ, and Globex differs from ClearPort. The adapter is scoped to Globex US equity index products (ES, NQ, YM, RTY) and never hits cmegroup.com from the job. It reads files dropped into input/cme/: Trading Hours → Holidays Excel exports (Equities row only), a documented CSV, or per-holiday PDFs. Empty cells on the holiday date become closed; a CLOSED before 16:00 CT becomes early_close; a day that only pre-opens the next trade date is treated as closed. Scraping a site whose terms forbid it is not a trade-off I would make for a client-facing job.</w:t>
      </w:r>
    </w:p>
    <w:p>
      <w:pPr>
        <w:pStyle w:val="Heading3"/>
      </w:pPr>
      <w:r>
        <w:t>Year coverage gaps (NASDAQ and OPRA)</w:t>
      </w:r>
    </w:p>
    <w:p>
      <w:r>
        <w:rPr>
          <w:i w:val="0"/>
        </w:rPr>
        <w:t>NYSE already publishes 2026–2028 on one page, so a refresh picks up 2027 without extra work. NASDAQ Trader’s calendar table is current-year only; as of the last run that is 2026, and there is no honest way to invent 2027 rows until they publish them. OPRA still links the 2025 holiday PDF; probes of the 2026 URL returned 403, and 2027 is not posted. Those gaps stay WARN/documented, not filled by guesswork.</w:t>
      </w:r>
    </w:p>
    <w:p>
      <w:pPr>
        <w:pStyle w:val="Heading2"/>
      </w:pPr>
      <w:r>
        <w:t>Step 4: Normalise</w:t>
      </w:r>
    </w:p>
    <w:p>
      <w:pPr>
        <w:pStyle w:val="ListBullet"/>
      </w:pPr>
      <w:r>
        <w:t>Clean names (collapse whitespace, strip footnote marks) and map them to canonical names, so 'JUNTEENTH' in the OPRA PDF still matches 'Juneteenth' elsewhere.</w:t>
      </w:r>
    </w:p>
    <w:p>
      <w:pPr>
        <w:pStyle w:val="ListBullet"/>
      </w:pPr>
      <w:r>
        <w:t>Convert early-close times to UTC using the exchange's IANA time zone: 13:00 New York on 24 December 2026 becomes 18:00Z (EST), on 3 July 2028 it becomes 17:00Z (EDT).</w:t>
      </w:r>
    </w:p>
    <w:p>
      <w:pPr>
        <w:pStyle w:val="ListBullet"/>
      </w:pPr>
      <w:r>
        <w:t>Sort and drop duplicate (exchange, date, status) keys. There were none on this run.</w:t>
      </w:r>
    </w:p>
    <w:p>
      <w:pPr>
        <w:pStyle w:val="ListBullet"/>
      </w:pPr>
      <w:r>
        <w:t>Trust the published date. An observed-date helper exists and is tested, but it is never used to invent a date the source did not print.</w:t>
      </w:r>
    </w:p>
    <w:p>
      <w:pPr>
        <w:pStyle w:val="Heading2"/>
      </w:pPr>
      <w:r>
        <w:t>Step 5: Validate, without auto-correcting</w:t>
      </w:r>
    </w:p>
    <w:p>
      <w:r>
        <w:rPr>
          <w:i w:val="0"/>
        </w:rPr>
        <w:t>Validation walks the table once and grades every check PASS, WARN or FAIL. The overall result is the worst grade. Differences between exchanges are reported, never edited away.</w:t>
      </w:r>
    </w:p>
    <w:p>
      <w:r>
        <w:rPr>
          <w:i w:val="0"/>
        </w:rPr>
        <w:t>The cross-exchange checks are the ones that matter most. NYSE and NASDAQ list the same ten closures and the same two early closes in 2026. For 2027, where the CME files cover a full year, NYSE and CME equity index agree on all ten closures and on the early close the day after Thanksgiving. OPRA cannot be compared yet because its only schedule is 2025, which is why those two checks are WARN.</w:t>
      </w:r>
    </w:p>
    <w:tbl>
      <w:tblPr>
        <w:tblStyle w:val="TableGrid"/>
        <w:tblW w:type="auto" w:w="0"/>
        <w:jc w:val="center"/>
        <w:tblLayout w:type="fixed"/>
        <w:tblLook w:firstColumn="1" w:firstRow="1" w:lastColumn="0" w:lastRow="0" w:noHBand="0" w:noVBand="1" w:val="04A0"/>
        <w:tblLayout w:type="fixed"/>
      </w:tblPr>
      <w:tblGrid>
        <w:gridCol w:w="2494"/>
        <w:gridCol w:w="1020"/>
        <w:gridCol w:w="5896"/>
      </w:tblGrid>
      <w:tr>
        <w:trPr>
          <w:cantSplit/>
          <w:tblHeader/>
        </w:trPr>
        <w:tc>
          <w:tcPr>
            <w:tcW w:type="dxa" w:w="2494"/>
            <w:shd w:val="clear" w:color="auto" w:fill="14213D"/>
          </w:tcPr>
          <w:p>
            <w:pPr>
              <w:keepNext/>
            </w:pPr>
            <w:r/>
            <w:r>
              <w:rPr>
                <w:b/>
                <w:color w:val="FFFFFF"/>
                <w:sz w:val="17"/>
              </w:rPr>
              <w:t>Check</w:t>
            </w:r>
          </w:p>
        </w:tc>
        <w:tc>
          <w:tcPr>
            <w:tcW w:type="dxa" w:w="1020"/>
            <w:shd w:val="clear" w:color="auto" w:fill="14213D"/>
          </w:tcPr>
          <w:p>
            <w:pPr>
              <w:keepNext/>
            </w:pPr>
            <w:r/>
            <w:r>
              <w:rPr>
                <w:b/>
                <w:color w:val="FFFFFF"/>
                <w:sz w:val="17"/>
              </w:rPr>
              <w:t>Result</w:t>
            </w:r>
          </w:p>
        </w:tc>
        <w:tc>
          <w:tcPr>
            <w:tcW w:type="dxa" w:w="5896"/>
            <w:shd w:val="clear" w:color="auto" w:fill="14213D"/>
          </w:tcPr>
          <w:p>
            <w:pPr>
              <w:keepNext/>
            </w:pPr>
            <w:r/>
            <w:r>
              <w:rPr>
                <w:b/>
                <w:color w:val="FFFFFF"/>
                <w:sz w:val="17"/>
              </w:rPr>
              <w:t>Detail</w:t>
            </w:r>
          </w:p>
        </w:tc>
      </w:tr>
      <w:tr>
        <w:trPr>
          <w:cantSplit/>
        </w:trPr>
        <w:tc>
          <w:tcPr>
            <w:tcW w:type="dxa" w:w="2494"/>
          </w:tcPr>
          <w:p>
            <w:pPr>
              <w:keepNext/>
            </w:pPr>
            <w:r/>
            <w:r>
              <w:rPr>
                <w:sz w:val="17"/>
              </w:rPr>
              <w:t>NYSE.rows</w:t>
            </w:r>
          </w:p>
        </w:tc>
        <w:tc>
          <w:tcPr>
            <w:tcW w:type="dxa" w:w="1020"/>
          </w:tcPr>
          <w:p>
            <w:pPr>
              <w:keepNext/>
            </w:pPr>
            <w:r/>
            <w:r>
              <w:rPr>
                <w:sz w:val="17"/>
              </w:rPr>
              <w:t>PASS</w:t>
            </w:r>
          </w:p>
        </w:tc>
        <w:tc>
          <w:tcPr>
            <w:tcW w:type="dxa" w:w="5896"/>
          </w:tcPr>
          <w:p>
            <w:pPr>
              <w:keepNext/>
            </w:pPr>
            <w:r/>
            <w:r>
              <w:rPr>
                <w:sz w:val="17"/>
              </w:rPr>
              <w:t>NYSE returned 34 rows</w:t>
            </w:r>
          </w:p>
        </w:tc>
      </w:tr>
      <w:tr>
        <w:trPr>
          <w:cantSplit/>
        </w:trPr>
        <w:tc>
          <w:tcPr>
            <w:tcW w:type="dxa" w:w="2494"/>
            <w:shd w:val="clear" w:color="auto" w:fill="F4F6FA"/>
          </w:tcPr>
          <w:p>
            <w:pPr>
              <w:keepNext/>
            </w:pPr>
            <w:r/>
            <w:r>
              <w:rPr>
                <w:sz w:val="17"/>
              </w:rPr>
              <w:t>NASDAQ.rows</w:t>
            </w:r>
          </w:p>
        </w:tc>
        <w:tc>
          <w:tcPr>
            <w:tcW w:type="dxa" w:w="1020"/>
          </w:tcPr>
          <w:p>
            <w:pPr>
              <w:keepNext/>
            </w:pPr>
            <w:r/>
            <w:r>
              <w:rPr>
                <w:sz w:val="17"/>
              </w:rPr>
              <w:t>PASS</w:t>
            </w:r>
          </w:p>
        </w:tc>
        <w:tc>
          <w:tcPr>
            <w:tcW w:type="dxa" w:w="5896"/>
            <w:shd w:val="clear" w:color="auto" w:fill="F4F6FA"/>
          </w:tcPr>
          <w:p>
            <w:pPr>
              <w:keepNext/>
            </w:pPr>
            <w:r/>
            <w:r>
              <w:rPr>
                <w:sz w:val="17"/>
              </w:rPr>
              <w:t>NASDAQ returned 12 rows</w:t>
            </w:r>
          </w:p>
        </w:tc>
      </w:tr>
      <w:tr>
        <w:trPr>
          <w:cantSplit/>
        </w:trPr>
        <w:tc>
          <w:tcPr>
            <w:tcW w:type="dxa" w:w="2494"/>
          </w:tcPr>
          <w:p>
            <w:pPr>
              <w:keepNext/>
            </w:pPr>
            <w:r/>
            <w:r>
              <w:rPr>
                <w:sz w:val="17"/>
              </w:rPr>
              <w:t>OPRA.rows</w:t>
            </w:r>
          </w:p>
        </w:tc>
        <w:tc>
          <w:tcPr>
            <w:tcW w:type="dxa" w:w="1020"/>
          </w:tcPr>
          <w:p>
            <w:pPr>
              <w:keepNext/>
            </w:pPr>
            <w:r/>
            <w:r>
              <w:rPr>
                <w:sz w:val="17"/>
              </w:rPr>
              <w:t>PASS</w:t>
            </w:r>
          </w:p>
        </w:tc>
        <w:tc>
          <w:tcPr>
            <w:tcW w:type="dxa" w:w="5896"/>
          </w:tcPr>
          <w:p>
            <w:pPr>
              <w:keepNext/>
            </w:pPr>
            <w:r/>
            <w:r>
              <w:rPr>
                <w:sz w:val="17"/>
              </w:rPr>
              <w:t>OPRA returned 14 rows</w:t>
            </w:r>
          </w:p>
        </w:tc>
      </w:tr>
      <w:tr>
        <w:trPr>
          <w:cantSplit/>
        </w:trPr>
        <w:tc>
          <w:tcPr>
            <w:tcW w:type="dxa" w:w="2494"/>
            <w:shd w:val="clear" w:color="auto" w:fill="F4F6FA"/>
          </w:tcPr>
          <w:p>
            <w:pPr>
              <w:keepNext/>
            </w:pPr>
            <w:r/>
            <w:r>
              <w:rPr>
                <w:sz w:val="17"/>
              </w:rPr>
              <w:t>CME.rows</w:t>
            </w:r>
          </w:p>
        </w:tc>
        <w:tc>
          <w:tcPr>
            <w:tcW w:type="dxa" w:w="1020"/>
          </w:tcPr>
          <w:p>
            <w:pPr>
              <w:keepNext/>
            </w:pPr>
            <w:r/>
            <w:r>
              <w:rPr>
                <w:sz w:val="17"/>
              </w:rPr>
              <w:t>PASS</w:t>
            </w:r>
          </w:p>
        </w:tc>
        <w:tc>
          <w:tcPr>
            <w:tcW w:type="dxa" w:w="5896"/>
            <w:shd w:val="clear" w:color="auto" w:fill="F4F6FA"/>
          </w:tcPr>
          <w:p>
            <w:pPr>
              <w:keepNext/>
            </w:pPr>
            <w:r/>
            <w:r>
              <w:rPr>
                <w:sz w:val="17"/>
              </w:rPr>
              <w:t>CME returned 15 rows</w:t>
            </w:r>
          </w:p>
        </w:tc>
      </w:tr>
      <w:tr>
        <w:trPr>
          <w:cantSplit/>
        </w:trPr>
        <w:tc>
          <w:tcPr>
            <w:tcW w:type="dxa" w:w="2494"/>
          </w:tcPr>
          <w:p>
            <w:pPr>
              <w:keepNext/>
            </w:pPr>
            <w:r/>
            <w:r>
              <w:rPr>
                <w:sz w:val="17"/>
              </w:rPr>
              <w:t>weekday</w:t>
            </w:r>
          </w:p>
        </w:tc>
        <w:tc>
          <w:tcPr>
            <w:tcW w:type="dxa" w:w="1020"/>
          </w:tcPr>
          <w:p>
            <w:pPr>
              <w:keepNext/>
            </w:pPr>
            <w:r/>
            <w:r>
              <w:rPr>
                <w:sz w:val="17"/>
              </w:rPr>
              <w:t>PASS</w:t>
            </w:r>
          </w:p>
        </w:tc>
        <w:tc>
          <w:tcPr>
            <w:tcW w:type="dxa" w:w="5896"/>
          </w:tcPr>
          <w:p>
            <w:pPr>
              <w:keepNext/>
            </w:pPr>
            <w:r/>
            <w:r>
              <w:rPr>
                <w:sz w:val="17"/>
              </w:rPr>
              <w:t>0 weekend-dated rows</w:t>
            </w:r>
          </w:p>
        </w:tc>
      </w:tr>
      <w:tr>
        <w:trPr>
          <w:cantSplit/>
        </w:trPr>
        <w:tc>
          <w:tcPr>
            <w:tcW w:type="dxa" w:w="2494"/>
            <w:shd w:val="clear" w:color="auto" w:fill="F4F6FA"/>
          </w:tcPr>
          <w:p>
            <w:pPr>
              <w:keepNext/>
            </w:pPr>
            <w:r/>
            <w:r>
              <w:rPr>
                <w:sz w:val="17"/>
              </w:rPr>
              <w:t>duplicates</w:t>
            </w:r>
          </w:p>
        </w:tc>
        <w:tc>
          <w:tcPr>
            <w:tcW w:type="dxa" w:w="1020"/>
          </w:tcPr>
          <w:p>
            <w:pPr>
              <w:keepNext/>
            </w:pPr>
            <w:r/>
            <w:r>
              <w:rPr>
                <w:sz w:val="17"/>
              </w:rPr>
              <w:t>PASS</w:t>
            </w:r>
          </w:p>
        </w:tc>
        <w:tc>
          <w:tcPr>
            <w:tcW w:type="dxa" w:w="5896"/>
            <w:shd w:val="clear" w:color="auto" w:fill="F4F6FA"/>
          </w:tcPr>
          <w:p>
            <w:pPr>
              <w:keepNext/>
            </w:pPr>
            <w:r/>
            <w:r>
              <w:rPr>
                <w:sz w:val="17"/>
              </w:rPr>
              <w:t>0 duplicate (exchange,date,status) rows</w:t>
            </w:r>
          </w:p>
        </w:tc>
      </w:tr>
      <w:tr>
        <w:trPr>
          <w:cantSplit/>
        </w:trPr>
        <w:tc>
          <w:tcPr>
            <w:tcW w:type="dxa" w:w="2494"/>
          </w:tcPr>
          <w:p>
            <w:pPr>
              <w:keepNext/>
            </w:pPr>
            <w:r/>
            <w:r>
              <w:rPr>
                <w:sz w:val="17"/>
              </w:rPr>
              <w:t>CME.2026.closures</w:t>
            </w:r>
          </w:p>
        </w:tc>
        <w:tc>
          <w:tcPr>
            <w:tcW w:type="dxa" w:w="1020"/>
          </w:tcPr>
          <w:p>
            <w:pPr>
              <w:keepNext/>
            </w:pPr>
            <w:r/>
            <w:r>
              <w:rPr>
                <w:sz w:val="17"/>
              </w:rPr>
              <w:t>PASS</w:t>
            </w:r>
          </w:p>
        </w:tc>
        <w:tc>
          <w:tcPr>
            <w:tcW w:type="dxa" w:w="5896"/>
          </w:tcPr>
          <w:p>
            <w:pPr>
              <w:keepNext/>
            </w:pPr>
            <w:r/>
            <w:r>
              <w:rPr>
                <w:sz w:val="17"/>
              </w:rPr>
              <w:t>2 full-day closures (plausible 2-14)</w:t>
            </w:r>
          </w:p>
        </w:tc>
      </w:tr>
      <w:tr>
        <w:trPr>
          <w:cantSplit/>
        </w:trPr>
        <w:tc>
          <w:tcPr>
            <w:tcW w:type="dxa" w:w="2494"/>
            <w:shd w:val="clear" w:color="auto" w:fill="F4F6FA"/>
          </w:tcPr>
          <w:p>
            <w:pPr>
              <w:keepNext/>
            </w:pPr>
            <w:r/>
            <w:r>
              <w:rPr>
                <w:sz w:val="17"/>
              </w:rPr>
              <w:t>CME.2027.closures</w:t>
            </w:r>
          </w:p>
        </w:tc>
        <w:tc>
          <w:tcPr>
            <w:tcW w:type="dxa" w:w="1020"/>
          </w:tcPr>
          <w:p>
            <w:pPr>
              <w:keepNext/>
            </w:pPr>
            <w:r/>
            <w:r>
              <w:rPr>
                <w:sz w:val="17"/>
              </w:rPr>
              <w:t>PASS</w:t>
            </w:r>
          </w:p>
        </w:tc>
        <w:tc>
          <w:tcPr>
            <w:tcW w:type="dxa" w:w="5896"/>
            <w:shd w:val="clear" w:color="auto" w:fill="F4F6FA"/>
          </w:tcPr>
          <w:p>
            <w:pPr>
              <w:keepNext/>
            </w:pPr>
            <w:r/>
            <w:r>
              <w:rPr>
                <w:sz w:val="17"/>
              </w:rPr>
              <w:t>10 full-day closures (plausible 2-14)</w:t>
            </w:r>
          </w:p>
        </w:tc>
      </w:tr>
      <w:tr>
        <w:trPr>
          <w:cantSplit/>
        </w:trPr>
        <w:tc>
          <w:tcPr>
            <w:tcW w:type="dxa" w:w="2494"/>
          </w:tcPr>
          <w:p>
            <w:pPr>
              <w:keepNext/>
            </w:pPr>
            <w:r/>
            <w:r>
              <w:rPr>
                <w:sz w:val="17"/>
              </w:rPr>
              <w:t>NASDAQ.2026.closures</w:t>
            </w:r>
          </w:p>
        </w:tc>
        <w:tc>
          <w:tcPr>
            <w:tcW w:type="dxa" w:w="1020"/>
          </w:tcPr>
          <w:p>
            <w:pPr>
              <w:keepNext/>
            </w:pPr>
            <w:r/>
            <w:r>
              <w:rPr>
                <w:sz w:val="17"/>
              </w:rPr>
              <w:t>PASS</w:t>
            </w:r>
          </w:p>
        </w:tc>
        <w:tc>
          <w:tcPr>
            <w:tcW w:type="dxa" w:w="5896"/>
          </w:tcPr>
          <w:p>
            <w:pPr>
              <w:keepNext/>
            </w:pPr>
            <w:r/>
            <w:r>
              <w:rPr>
                <w:sz w:val="17"/>
              </w:rPr>
              <w:t>10 full-day closures (plausible 8-11)</w:t>
            </w:r>
          </w:p>
        </w:tc>
      </w:tr>
      <w:tr>
        <w:trPr>
          <w:cantSplit/>
        </w:trPr>
        <w:tc>
          <w:tcPr>
            <w:tcW w:type="dxa" w:w="2494"/>
            <w:shd w:val="clear" w:color="auto" w:fill="F4F6FA"/>
          </w:tcPr>
          <w:p>
            <w:pPr>
              <w:keepNext/>
            </w:pPr>
            <w:r/>
            <w:r>
              <w:rPr>
                <w:sz w:val="17"/>
              </w:rPr>
              <w:t>NYSE.2026.closures</w:t>
            </w:r>
          </w:p>
        </w:tc>
        <w:tc>
          <w:tcPr>
            <w:tcW w:type="dxa" w:w="1020"/>
          </w:tcPr>
          <w:p>
            <w:pPr>
              <w:keepNext/>
            </w:pPr>
            <w:r/>
            <w:r>
              <w:rPr>
                <w:sz w:val="17"/>
              </w:rPr>
              <w:t>PASS</w:t>
            </w:r>
          </w:p>
        </w:tc>
        <w:tc>
          <w:tcPr>
            <w:tcW w:type="dxa" w:w="5896"/>
            <w:shd w:val="clear" w:color="auto" w:fill="F4F6FA"/>
          </w:tcPr>
          <w:p>
            <w:pPr>
              <w:keepNext/>
            </w:pPr>
            <w:r/>
            <w:r>
              <w:rPr>
                <w:sz w:val="17"/>
              </w:rPr>
              <w:t>10 full-day closures (plausible 8-11)</w:t>
            </w:r>
          </w:p>
        </w:tc>
      </w:tr>
      <w:tr>
        <w:trPr>
          <w:cantSplit/>
        </w:trPr>
        <w:tc>
          <w:tcPr>
            <w:tcW w:type="dxa" w:w="2494"/>
          </w:tcPr>
          <w:p>
            <w:pPr>
              <w:keepNext/>
            </w:pPr>
            <w:r/>
            <w:r>
              <w:rPr>
                <w:sz w:val="17"/>
              </w:rPr>
              <w:t>NYSE.2027.closures</w:t>
            </w:r>
          </w:p>
        </w:tc>
        <w:tc>
          <w:tcPr>
            <w:tcW w:type="dxa" w:w="1020"/>
          </w:tcPr>
          <w:p>
            <w:pPr>
              <w:keepNext/>
            </w:pPr>
            <w:r/>
            <w:r>
              <w:rPr>
                <w:sz w:val="17"/>
              </w:rPr>
              <w:t>PASS</w:t>
            </w:r>
          </w:p>
        </w:tc>
        <w:tc>
          <w:tcPr>
            <w:tcW w:type="dxa" w:w="5896"/>
          </w:tcPr>
          <w:p>
            <w:pPr>
              <w:keepNext/>
            </w:pPr>
            <w:r/>
            <w:r>
              <w:rPr>
                <w:sz w:val="17"/>
              </w:rPr>
              <w:t>10 full-day closures (plausible 8-11)</w:t>
            </w:r>
          </w:p>
        </w:tc>
      </w:tr>
      <w:tr>
        <w:trPr>
          <w:cantSplit/>
        </w:trPr>
        <w:tc>
          <w:tcPr>
            <w:tcW w:type="dxa" w:w="2494"/>
            <w:shd w:val="clear" w:color="auto" w:fill="F4F6FA"/>
          </w:tcPr>
          <w:p>
            <w:pPr>
              <w:keepNext/>
            </w:pPr>
            <w:r/>
            <w:r>
              <w:rPr>
                <w:sz w:val="17"/>
              </w:rPr>
              <w:t>NYSE.2028.closures</w:t>
            </w:r>
          </w:p>
        </w:tc>
        <w:tc>
          <w:tcPr>
            <w:tcW w:type="dxa" w:w="1020"/>
          </w:tcPr>
          <w:p>
            <w:pPr>
              <w:keepNext/>
            </w:pPr>
            <w:r/>
            <w:r>
              <w:rPr>
                <w:sz w:val="17"/>
              </w:rPr>
              <w:t>PASS</w:t>
            </w:r>
          </w:p>
        </w:tc>
        <w:tc>
          <w:tcPr>
            <w:tcW w:type="dxa" w:w="5896"/>
            <w:shd w:val="clear" w:color="auto" w:fill="F4F6FA"/>
          </w:tcPr>
          <w:p>
            <w:pPr>
              <w:keepNext/>
            </w:pPr>
            <w:r/>
            <w:r>
              <w:rPr>
                <w:sz w:val="17"/>
              </w:rPr>
              <w:t>9 full-day closures (plausible 8-11)</w:t>
            </w:r>
          </w:p>
        </w:tc>
      </w:tr>
      <w:tr>
        <w:trPr>
          <w:cantSplit/>
        </w:trPr>
        <w:tc>
          <w:tcPr>
            <w:tcW w:type="dxa" w:w="2494"/>
          </w:tcPr>
          <w:p>
            <w:pPr>
              <w:keepNext/>
            </w:pPr>
            <w:r/>
            <w:r>
              <w:rPr>
                <w:sz w:val="17"/>
              </w:rPr>
              <w:t>OPRA.2025.closures</w:t>
            </w:r>
          </w:p>
        </w:tc>
        <w:tc>
          <w:tcPr>
            <w:tcW w:type="dxa" w:w="1020"/>
          </w:tcPr>
          <w:p>
            <w:pPr>
              <w:keepNext/>
            </w:pPr>
            <w:r/>
            <w:r>
              <w:rPr>
                <w:sz w:val="17"/>
              </w:rPr>
              <w:t>PASS</w:t>
            </w:r>
          </w:p>
        </w:tc>
        <w:tc>
          <w:tcPr>
            <w:tcW w:type="dxa" w:w="5896"/>
          </w:tcPr>
          <w:p>
            <w:pPr>
              <w:keepNext/>
            </w:pPr>
            <w:r/>
            <w:r>
              <w:rPr>
                <w:sz w:val="17"/>
              </w:rPr>
              <w:t>10 full-day closures (plausible 8-11)</w:t>
            </w:r>
          </w:p>
        </w:tc>
      </w:tr>
      <w:tr>
        <w:trPr>
          <w:cantSplit/>
        </w:trPr>
        <w:tc>
          <w:tcPr>
            <w:tcW w:type="dxa" w:w="2494"/>
            <w:shd w:val="clear" w:color="auto" w:fill="F4F6FA"/>
          </w:tcPr>
          <w:p>
            <w:pPr>
              <w:keepNext/>
            </w:pPr>
            <w:r/>
            <w:r>
              <w:rPr>
                <w:sz w:val="17"/>
              </w:rPr>
              <w:t>OPRA.2026.closures</w:t>
            </w:r>
          </w:p>
        </w:tc>
        <w:tc>
          <w:tcPr>
            <w:tcW w:type="dxa" w:w="1020"/>
          </w:tcPr>
          <w:p>
            <w:pPr>
              <w:keepNext/>
            </w:pPr>
            <w:r/>
            <w:r>
              <w:rPr>
                <w:sz w:val="17"/>
              </w:rPr>
              <w:t>PASS</w:t>
            </w:r>
          </w:p>
        </w:tc>
        <w:tc>
          <w:tcPr>
            <w:tcW w:type="dxa" w:w="5896"/>
            <w:shd w:val="clear" w:color="auto" w:fill="F4F6FA"/>
          </w:tcPr>
          <w:p>
            <w:pPr>
              <w:keepNext/>
            </w:pPr>
            <w:r/>
            <w:r>
              <w:rPr>
                <w:sz w:val="17"/>
              </w:rPr>
              <w:t>1 closure(s) spilling from source_year 2025</w:t>
            </w:r>
          </w:p>
        </w:tc>
      </w:tr>
      <w:tr>
        <w:trPr>
          <w:cantSplit/>
        </w:trPr>
        <w:tc>
          <w:tcPr>
            <w:tcW w:type="dxa" w:w="2494"/>
          </w:tcPr>
          <w:p>
            <w:pPr>
              <w:keepNext/>
            </w:pPr>
            <w:r/>
            <w:r>
              <w:rPr>
                <w:sz w:val="17"/>
              </w:rPr>
              <w:t>early_close_time</w:t>
            </w:r>
          </w:p>
        </w:tc>
        <w:tc>
          <w:tcPr>
            <w:tcW w:type="dxa" w:w="1020"/>
          </w:tcPr>
          <w:p>
            <w:pPr>
              <w:keepNext/>
            </w:pPr>
            <w:r/>
            <w:r>
              <w:rPr>
                <w:sz w:val="17"/>
              </w:rPr>
              <w:t>PASS</w:t>
            </w:r>
          </w:p>
        </w:tc>
        <w:tc>
          <w:tcPr>
            <w:tcW w:type="dxa" w:w="5896"/>
          </w:tcPr>
          <w:p>
            <w:pPr>
              <w:keepNext/>
            </w:pPr>
            <w:r/>
            <w:r>
              <w:rPr>
                <w:sz w:val="17"/>
              </w:rPr>
              <w:t>0 early-close rows without a close time</w:t>
            </w:r>
          </w:p>
        </w:tc>
      </w:tr>
      <w:tr>
        <w:trPr>
          <w:cantSplit/>
        </w:trPr>
        <w:tc>
          <w:tcPr>
            <w:tcW w:type="dxa" w:w="2494"/>
            <w:shd w:val="clear" w:color="auto" w:fill="F4F6FA"/>
          </w:tcPr>
          <w:p>
            <w:pPr>
              <w:keepNext/>
            </w:pPr>
            <w:r/>
            <w:r>
              <w:rPr>
                <w:sz w:val="17"/>
              </w:rPr>
              <w:t>NASDAQ.2026.early_closes</w:t>
            </w:r>
          </w:p>
        </w:tc>
        <w:tc>
          <w:tcPr>
            <w:tcW w:type="dxa" w:w="1020"/>
          </w:tcPr>
          <w:p>
            <w:pPr>
              <w:keepNext/>
            </w:pPr>
            <w:r/>
            <w:r>
              <w:rPr>
                <w:sz w:val="17"/>
              </w:rPr>
              <w:t>PASS</w:t>
            </w:r>
          </w:p>
        </w:tc>
        <w:tc>
          <w:tcPr>
            <w:tcW w:type="dxa" w:w="5896"/>
            <w:shd w:val="clear" w:color="auto" w:fill="F4F6FA"/>
          </w:tcPr>
          <w:p>
            <w:pPr>
              <w:keepNext/>
            </w:pPr>
            <w:r/>
            <w:r>
              <w:rPr>
                <w:sz w:val="17"/>
              </w:rPr>
              <w:t>2 early closes (minimum expected 1)</w:t>
            </w:r>
          </w:p>
        </w:tc>
      </w:tr>
      <w:tr>
        <w:trPr>
          <w:cantSplit/>
        </w:trPr>
        <w:tc>
          <w:tcPr>
            <w:tcW w:type="dxa" w:w="2494"/>
          </w:tcPr>
          <w:p>
            <w:pPr>
              <w:keepNext/>
            </w:pPr>
            <w:r/>
            <w:r>
              <w:rPr>
                <w:sz w:val="17"/>
              </w:rPr>
              <w:t>NYSE.2026.early_closes</w:t>
            </w:r>
          </w:p>
        </w:tc>
        <w:tc>
          <w:tcPr>
            <w:tcW w:type="dxa" w:w="1020"/>
          </w:tcPr>
          <w:p>
            <w:pPr>
              <w:keepNext/>
            </w:pPr>
            <w:r/>
            <w:r>
              <w:rPr>
                <w:sz w:val="17"/>
              </w:rPr>
              <w:t>PASS</w:t>
            </w:r>
          </w:p>
        </w:tc>
        <w:tc>
          <w:tcPr>
            <w:tcW w:type="dxa" w:w="5896"/>
          </w:tcPr>
          <w:p>
            <w:pPr>
              <w:keepNext/>
            </w:pPr>
            <w:r/>
            <w:r>
              <w:rPr>
                <w:sz w:val="17"/>
              </w:rPr>
              <w:t>2 early closes (minimum expected 1)</w:t>
            </w:r>
          </w:p>
        </w:tc>
      </w:tr>
      <w:tr>
        <w:trPr>
          <w:cantSplit/>
        </w:trPr>
        <w:tc>
          <w:tcPr>
            <w:tcW w:type="dxa" w:w="2494"/>
            <w:shd w:val="clear" w:color="auto" w:fill="F4F6FA"/>
          </w:tcPr>
          <w:p>
            <w:pPr>
              <w:keepNext/>
            </w:pPr>
            <w:r/>
            <w:r>
              <w:rPr>
                <w:sz w:val="17"/>
              </w:rPr>
              <w:t>NYSE.2027.early_closes</w:t>
            </w:r>
          </w:p>
        </w:tc>
        <w:tc>
          <w:tcPr>
            <w:tcW w:type="dxa" w:w="1020"/>
          </w:tcPr>
          <w:p>
            <w:pPr>
              <w:keepNext/>
            </w:pPr>
            <w:r/>
            <w:r>
              <w:rPr>
                <w:sz w:val="17"/>
              </w:rPr>
              <w:t>PASS</w:t>
            </w:r>
          </w:p>
        </w:tc>
        <w:tc>
          <w:tcPr>
            <w:tcW w:type="dxa" w:w="5896"/>
            <w:shd w:val="clear" w:color="auto" w:fill="F4F6FA"/>
          </w:tcPr>
          <w:p>
            <w:pPr>
              <w:keepNext/>
            </w:pPr>
            <w:r/>
            <w:r>
              <w:rPr>
                <w:sz w:val="17"/>
              </w:rPr>
              <w:t>1 early closes (minimum expected 1)</w:t>
            </w:r>
          </w:p>
        </w:tc>
      </w:tr>
      <w:tr>
        <w:trPr>
          <w:cantSplit/>
        </w:trPr>
        <w:tc>
          <w:tcPr>
            <w:tcW w:type="dxa" w:w="2494"/>
          </w:tcPr>
          <w:p>
            <w:pPr>
              <w:keepNext/>
            </w:pPr>
            <w:r/>
            <w:r>
              <w:rPr>
                <w:sz w:val="17"/>
              </w:rPr>
              <w:t>NYSE.2028.early_closes</w:t>
            </w:r>
          </w:p>
        </w:tc>
        <w:tc>
          <w:tcPr>
            <w:tcW w:type="dxa" w:w="1020"/>
          </w:tcPr>
          <w:p>
            <w:pPr>
              <w:keepNext/>
            </w:pPr>
            <w:r/>
            <w:r>
              <w:rPr>
                <w:sz w:val="17"/>
              </w:rPr>
              <w:t>PASS</w:t>
            </w:r>
          </w:p>
        </w:tc>
        <w:tc>
          <w:tcPr>
            <w:tcW w:type="dxa" w:w="5896"/>
          </w:tcPr>
          <w:p>
            <w:pPr>
              <w:keepNext/>
            </w:pPr>
            <w:r/>
            <w:r>
              <w:rPr>
                <w:sz w:val="17"/>
              </w:rPr>
              <w:t>2 early closes (minimum expected 1)</w:t>
            </w:r>
          </w:p>
        </w:tc>
      </w:tr>
      <w:tr>
        <w:trPr>
          <w:cantSplit/>
        </w:trPr>
        <w:tc>
          <w:tcPr>
            <w:tcW w:type="dxa" w:w="2494"/>
            <w:shd w:val="clear" w:color="auto" w:fill="F4F6FA"/>
          </w:tcPr>
          <w:p>
            <w:pPr>
              <w:keepNext/>
            </w:pPr>
            <w:r/>
            <w:r>
              <w:rPr>
                <w:sz w:val="17"/>
              </w:rPr>
              <w:t>NYSE_vs_NASDAQ.closed</w:t>
            </w:r>
          </w:p>
        </w:tc>
        <w:tc>
          <w:tcPr>
            <w:tcW w:type="dxa" w:w="1020"/>
          </w:tcPr>
          <w:p>
            <w:pPr>
              <w:keepNext/>
            </w:pPr>
            <w:r/>
            <w:r>
              <w:rPr>
                <w:sz w:val="17"/>
              </w:rPr>
              <w:t>PASS</w:t>
            </w:r>
          </w:p>
        </w:tc>
        <w:tc>
          <w:tcPr>
            <w:tcW w:type="dxa" w:w="5896"/>
            <w:shd w:val="clear" w:color="auto" w:fill="F4F6FA"/>
          </w:tcPr>
          <w:p>
            <w:pPr>
              <w:keepNext/>
            </w:pPr>
            <w:r/>
            <w:r>
              <w:rPr>
                <w:sz w:val="17"/>
              </w:rPr>
              <w:t>years [2026]: 0 differing dates</w:t>
            </w:r>
          </w:p>
        </w:tc>
      </w:tr>
      <w:tr>
        <w:trPr>
          <w:cantSplit/>
        </w:trPr>
        <w:tc>
          <w:tcPr>
            <w:tcW w:type="dxa" w:w="2494"/>
          </w:tcPr>
          <w:p>
            <w:pPr>
              <w:keepNext/>
            </w:pPr>
            <w:r/>
            <w:r>
              <w:rPr>
                <w:sz w:val="17"/>
              </w:rPr>
              <w:t>NYSE_vs_NASDAQ.early_close</w:t>
            </w:r>
          </w:p>
        </w:tc>
        <w:tc>
          <w:tcPr>
            <w:tcW w:type="dxa" w:w="1020"/>
          </w:tcPr>
          <w:p>
            <w:pPr>
              <w:keepNext/>
            </w:pPr>
            <w:r/>
            <w:r>
              <w:rPr>
                <w:sz w:val="17"/>
              </w:rPr>
              <w:t>PASS</w:t>
            </w:r>
          </w:p>
        </w:tc>
        <w:tc>
          <w:tcPr>
            <w:tcW w:type="dxa" w:w="5896"/>
          </w:tcPr>
          <w:p>
            <w:pPr>
              <w:keepNext/>
            </w:pPr>
            <w:r/>
            <w:r>
              <w:rPr>
                <w:sz w:val="17"/>
              </w:rPr>
              <w:t>years [2026]: 0 differing dates</w:t>
            </w:r>
          </w:p>
        </w:tc>
      </w:tr>
      <w:tr>
        <w:trPr>
          <w:cantSplit/>
        </w:trPr>
        <w:tc>
          <w:tcPr>
            <w:tcW w:type="dxa" w:w="2494"/>
            <w:shd w:val="clear" w:color="auto" w:fill="F4F6FA"/>
          </w:tcPr>
          <w:p>
            <w:pPr>
              <w:keepNext/>
            </w:pPr>
            <w:r/>
            <w:r>
              <w:rPr>
                <w:sz w:val="17"/>
              </w:rPr>
              <w:t>NYSE_vs_OPRA</w:t>
            </w:r>
          </w:p>
        </w:tc>
        <w:tc>
          <w:tcPr>
            <w:tcW w:type="dxa" w:w="1020"/>
          </w:tcPr>
          <w:p>
            <w:pPr>
              <w:keepNext/>
            </w:pPr>
            <w:r/>
            <w:r>
              <w:rPr>
                <w:sz w:val="17"/>
              </w:rPr>
              <w:t>WARN</w:t>
            </w:r>
          </w:p>
        </w:tc>
        <w:tc>
          <w:tcPr>
            <w:tcW w:type="dxa" w:w="5896"/>
            <w:shd w:val="clear" w:color="auto" w:fill="F4F6FA"/>
          </w:tcPr>
          <w:p>
            <w:pPr>
              <w:keepNext/>
            </w:pPr>
            <w:r/>
            <w:r>
              <w:rPr>
                <w:sz w:val="17"/>
              </w:rPr>
              <w:t>no overlapping source years ([2026, 2027, 2028] vs [2025]); comparison skipped</w:t>
            </w:r>
          </w:p>
        </w:tc>
      </w:tr>
      <w:tr>
        <w:trPr>
          <w:cantSplit/>
        </w:trPr>
        <w:tc>
          <w:tcPr>
            <w:tcW w:type="dxa" w:w="2494"/>
          </w:tcPr>
          <w:p>
            <w:pPr>
              <w:keepNext/>
            </w:pPr>
            <w:r/>
            <w:r>
              <w:rPr>
                <w:sz w:val="17"/>
              </w:rPr>
              <w:t>NASDAQ_vs_OPRA</w:t>
            </w:r>
          </w:p>
        </w:tc>
        <w:tc>
          <w:tcPr>
            <w:tcW w:type="dxa" w:w="1020"/>
          </w:tcPr>
          <w:p>
            <w:pPr>
              <w:keepNext/>
            </w:pPr>
            <w:r/>
            <w:r>
              <w:rPr>
                <w:sz w:val="17"/>
              </w:rPr>
              <w:t>WARN</w:t>
            </w:r>
          </w:p>
        </w:tc>
        <w:tc>
          <w:tcPr>
            <w:tcW w:type="dxa" w:w="5896"/>
          </w:tcPr>
          <w:p>
            <w:pPr>
              <w:keepNext/>
            </w:pPr>
            <w:r/>
            <w:r>
              <w:rPr>
                <w:sz w:val="17"/>
              </w:rPr>
              <w:t>no overlapping source years ([2026] vs [2025]); comparison skipped</w:t>
            </w:r>
          </w:p>
        </w:tc>
      </w:tr>
      <w:tr>
        <w:trPr>
          <w:cantSplit/>
        </w:trPr>
        <w:tc>
          <w:tcPr>
            <w:tcW w:type="dxa" w:w="2494"/>
            <w:shd w:val="clear" w:color="auto" w:fill="F4F6FA"/>
          </w:tcPr>
          <w:p>
            <w:pPr>
              <w:keepNext/>
            </w:pPr>
            <w:r/>
            <w:r>
              <w:rPr>
                <w:sz w:val="17"/>
              </w:rPr>
              <w:t>NYSE_vs_CME.2027.closed</w:t>
            </w:r>
          </w:p>
        </w:tc>
        <w:tc>
          <w:tcPr>
            <w:tcW w:type="dxa" w:w="1020"/>
          </w:tcPr>
          <w:p>
            <w:pPr>
              <w:keepNext/>
            </w:pPr>
            <w:r/>
            <w:r>
              <w:rPr>
                <w:sz w:val="17"/>
              </w:rPr>
              <w:t>PASS</w:t>
            </w:r>
          </w:p>
        </w:tc>
        <w:tc>
          <w:tcPr>
            <w:tcW w:type="dxa" w:w="5896"/>
            <w:shd w:val="clear" w:color="auto" w:fill="F4F6FA"/>
          </w:tcPr>
          <w:p>
            <w:pPr>
              <w:keepNext/>
            </w:pPr>
            <w:r/>
            <w:r>
              <w:rPr>
                <w:sz w:val="17"/>
              </w:rPr>
              <w:t>0 differing dates</w:t>
            </w:r>
          </w:p>
        </w:tc>
      </w:tr>
      <w:tr>
        <w:trPr>
          <w:cantSplit/>
        </w:trPr>
        <w:tc>
          <w:tcPr>
            <w:tcW w:type="dxa" w:w="2494"/>
          </w:tcPr>
          <w:p>
            <w:pPr>
              <w:keepNext/>
            </w:pPr>
            <w:r/>
            <w:r>
              <w:rPr>
                <w:sz w:val="17"/>
              </w:rPr>
              <w:t>NYSE_vs_CME.2027.early_close</w:t>
            </w:r>
          </w:p>
        </w:tc>
        <w:tc>
          <w:tcPr>
            <w:tcW w:type="dxa" w:w="1020"/>
          </w:tcPr>
          <w:p>
            <w:pPr>
              <w:keepNext/>
            </w:pPr>
            <w:r/>
            <w:r>
              <w:rPr>
                <w:sz w:val="17"/>
              </w:rPr>
              <w:t>PASS</w:t>
            </w:r>
          </w:p>
        </w:tc>
        <w:tc>
          <w:tcPr>
            <w:tcW w:type="dxa" w:w="5896"/>
          </w:tcPr>
          <w:p>
            <w:pPr>
              <w:keepNext/>
            </w:pPr>
            <w:r/>
            <w:r>
              <w:rPr>
                <w:sz w:val="17"/>
              </w:rPr>
              <w:t>0 differing dates</w:t>
            </w:r>
          </w:p>
        </w:tc>
      </w:tr>
      <w:tr>
        <w:trPr>
          <w:cantSplit/>
        </w:trPr>
        <w:tc>
          <w:tcPr>
            <w:tcW w:type="dxa" w:w="2494"/>
            <w:shd w:val="clear" w:color="auto" w:fill="F4F6FA"/>
          </w:tcPr>
          <w:p>
            <w:pPr>
              <w:keepNext/>
            </w:pPr>
            <w:r/>
            <w:r>
              <w:rPr>
                <w:sz w:val="17"/>
              </w:rPr>
              <w:t>good_friday</w:t>
            </w:r>
          </w:p>
        </w:tc>
        <w:tc>
          <w:tcPr>
            <w:tcW w:type="dxa" w:w="1020"/>
          </w:tcPr>
          <w:p>
            <w:pPr>
              <w:keepNext/>
            </w:pPr>
            <w:r/>
            <w:r>
              <w:rPr>
                <w:sz w:val="17"/>
              </w:rPr>
              <w:t>PASS</w:t>
            </w:r>
          </w:p>
        </w:tc>
        <w:tc>
          <w:tcPr>
            <w:tcW w:type="dxa" w:w="5896"/>
            <w:shd w:val="clear" w:color="auto" w:fill="F4F6FA"/>
          </w:tcPr>
          <w:p>
            <w:pPr>
              <w:keepNext/>
            </w:pPr>
            <w:r/>
            <w:r>
              <w:rPr>
                <w:sz w:val="17"/>
              </w:rPr>
              <w:t>6 Good Friday rows checked against Easter-2</w:t>
            </w:r>
          </w:p>
        </w:tc>
      </w:tr>
      <w:tr>
        <w:trPr>
          <w:cantSplit/>
        </w:trPr>
        <w:tc>
          <w:tcPr>
            <w:tcW w:type="dxa" w:w="2494"/>
          </w:tcPr>
          <w:p>
            <w:r/>
            <w:r>
              <w:rPr>
                <w:sz w:val="17"/>
              </w:rPr>
              <w:t>diff_previous</w:t>
            </w:r>
          </w:p>
        </w:tc>
        <w:tc>
          <w:tcPr>
            <w:tcW w:type="dxa" w:w="1020"/>
          </w:tcPr>
          <w:p>
            <w:r/>
            <w:r>
              <w:rPr>
                <w:sz w:val="17"/>
              </w:rPr>
              <w:t>PASS</w:t>
            </w:r>
          </w:p>
        </w:tc>
        <w:tc>
          <w:tcPr>
            <w:tcW w:type="dxa" w:w="5896"/>
          </w:tcPr>
          <w:p>
            <w:r/>
            <w:r>
              <w:rPr>
                <w:sz w:val="17"/>
              </w:rPr>
              <w:t>rows 75 -&gt; 75 (0.0% change, threshold 30.0%); added 0: []; removed 0: []</w:t>
            </w:r>
          </w:p>
        </w:tc>
      </w:tr>
    </w:tbl>
    <w:p/>
    <w:p>
      <w:r>
        <w:rPr>
          <w:b/>
        </w:rPr>
        <w:t xml:space="preserve">New check. </w:t>
      </w:r>
      <w:r>
        <w:rPr>
          <w:i w:val="0"/>
        </w:rPr>
        <w:t>After an external review I added one more check: every full NYSE and NASDAQ year must contain at least one early close. Footnote parsing is the fragile part of the NYSE adapter, and a layout change that silently yields zero early closes would otherwise pass. Applied to the saved run it gives:</w:t>
      </w:r>
    </w:p>
    <w:tbl>
      <w:tblPr>
        <w:tblStyle w:val="TableGrid"/>
        <w:tblW w:type="auto" w:w="0"/>
        <w:jc w:val="center"/>
        <w:tblLayout w:type="fixed"/>
        <w:tblLook w:firstColumn="1" w:firstRow="1" w:lastColumn="0" w:lastRow="0" w:noHBand="0" w:noVBand="1" w:val="04A0"/>
        <w:tblLayout w:type="fixed"/>
      </w:tblPr>
      <w:tblGrid>
        <w:gridCol w:w="2494"/>
        <w:gridCol w:w="1020"/>
        <w:gridCol w:w="5896"/>
      </w:tblGrid>
      <w:tr>
        <w:trPr>
          <w:cantSplit/>
          <w:tblHeader/>
        </w:trPr>
        <w:tc>
          <w:tcPr>
            <w:tcW w:type="dxa" w:w="2494"/>
            <w:shd w:val="clear" w:color="auto" w:fill="14213D"/>
          </w:tcPr>
          <w:p>
            <w:pPr>
              <w:keepNext/>
            </w:pPr>
            <w:r/>
            <w:r>
              <w:rPr>
                <w:b/>
                <w:color w:val="FFFFFF"/>
                <w:sz w:val="18"/>
              </w:rPr>
              <w:t>Check</w:t>
            </w:r>
          </w:p>
        </w:tc>
        <w:tc>
          <w:tcPr>
            <w:tcW w:type="dxa" w:w="1020"/>
            <w:shd w:val="clear" w:color="auto" w:fill="14213D"/>
          </w:tcPr>
          <w:p>
            <w:pPr>
              <w:keepNext/>
            </w:pPr>
            <w:r/>
            <w:r>
              <w:rPr>
                <w:b/>
                <w:color w:val="FFFFFF"/>
                <w:sz w:val="18"/>
              </w:rPr>
              <w:t>Result</w:t>
            </w:r>
          </w:p>
        </w:tc>
        <w:tc>
          <w:tcPr>
            <w:tcW w:type="dxa" w:w="5896"/>
            <w:shd w:val="clear" w:color="auto" w:fill="14213D"/>
          </w:tcPr>
          <w:p>
            <w:pPr>
              <w:keepNext/>
            </w:pPr>
            <w:r/>
            <w:r>
              <w:rPr>
                <w:b/>
                <w:color w:val="FFFFFF"/>
                <w:sz w:val="18"/>
              </w:rPr>
              <w:t>Detail</w:t>
            </w:r>
          </w:p>
        </w:tc>
      </w:tr>
      <w:tr>
        <w:trPr>
          <w:cantSplit/>
        </w:trPr>
        <w:tc>
          <w:tcPr>
            <w:tcW w:type="dxa" w:w="2494"/>
          </w:tcPr>
          <w:p>
            <w:pPr>
              <w:keepNext/>
            </w:pPr>
            <w:r/>
            <w:r>
              <w:rPr>
                <w:sz w:val="18"/>
              </w:rPr>
              <w:t>NASDAQ.2026.early_closes</w:t>
            </w:r>
          </w:p>
        </w:tc>
        <w:tc>
          <w:tcPr>
            <w:tcW w:type="dxa" w:w="1020"/>
          </w:tcPr>
          <w:p>
            <w:pPr>
              <w:keepNext/>
            </w:pPr>
            <w:r/>
            <w:r>
              <w:rPr>
                <w:sz w:val="18"/>
              </w:rPr>
              <w:t>PASS</w:t>
            </w:r>
          </w:p>
        </w:tc>
        <w:tc>
          <w:tcPr>
            <w:tcW w:type="dxa" w:w="5896"/>
          </w:tcPr>
          <w:p>
            <w:pPr>
              <w:keepNext/>
            </w:pPr>
            <w:r/>
            <w:r>
              <w:rPr>
                <w:sz w:val="18"/>
              </w:rPr>
              <w:t>2 early close(s); minimum 1</w:t>
            </w:r>
          </w:p>
        </w:tc>
      </w:tr>
      <w:tr>
        <w:trPr>
          <w:cantSplit/>
        </w:trPr>
        <w:tc>
          <w:tcPr>
            <w:tcW w:type="dxa" w:w="2494"/>
            <w:shd w:val="clear" w:color="auto" w:fill="F4F6FA"/>
          </w:tcPr>
          <w:p>
            <w:pPr>
              <w:keepNext/>
            </w:pPr>
            <w:r/>
            <w:r>
              <w:rPr>
                <w:sz w:val="18"/>
              </w:rPr>
              <w:t>NYSE.2026.early_closes</w:t>
            </w:r>
          </w:p>
        </w:tc>
        <w:tc>
          <w:tcPr>
            <w:tcW w:type="dxa" w:w="1020"/>
          </w:tcPr>
          <w:p>
            <w:pPr>
              <w:keepNext/>
            </w:pPr>
            <w:r/>
            <w:r>
              <w:rPr>
                <w:sz w:val="18"/>
              </w:rPr>
              <w:t>PASS</w:t>
            </w:r>
          </w:p>
        </w:tc>
        <w:tc>
          <w:tcPr>
            <w:tcW w:type="dxa" w:w="5896"/>
            <w:shd w:val="clear" w:color="auto" w:fill="F4F6FA"/>
          </w:tcPr>
          <w:p>
            <w:pPr>
              <w:keepNext/>
            </w:pPr>
            <w:r/>
            <w:r>
              <w:rPr>
                <w:sz w:val="18"/>
              </w:rPr>
              <w:t>2 early close(s); minimum 1</w:t>
            </w:r>
          </w:p>
        </w:tc>
      </w:tr>
      <w:tr>
        <w:trPr>
          <w:cantSplit/>
        </w:trPr>
        <w:tc>
          <w:tcPr>
            <w:tcW w:type="dxa" w:w="2494"/>
          </w:tcPr>
          <w:p>
            <w:pPr>
              <w:keepNext/>
            </w:pPr>
            <w:r/>
            <w:r>
              <w:rPr>
                <w:sz w:val="18"/>
              </w:rPr>
              <w:t>NYSE.2027.early_closes</w:t>
            </w:r>
          </w:p>
        </w:tc>
        <w:tc>
          <w:tcPr>
            <w:tcW w:type="dxa" w:w="1020"/>
          </w:tcPr>
          <w:p>
            <w:pPr>
              <w:keepNext/>
            </w:pPr>
            <w:r/>
            <w:r>
              <w:rPr>
                <w:sz w:val="18"/>
              </w:rPr>
              <w:t>PASS</w:t>
            </w:r>
          </w:p>
        </w:tc>
        <w:tc>
          <w:tcPr>
            <w:tcW w:type="dxa" w:w="5896"/>
          </w:tcPr>
          <w:p>
            <w:pPr>
              <w:keepNext/>
            </w:pPr>
            <w:r/>
            <w:r>
              <w:rPr>
                <w:sz w:val="18"/>
              </w:rPr>
              <w:t>1 early close(s); minimum 1</w:t>
            </w:r>
          </w:p>
        </w:tc>
      </w:tr>
      <w:tr>
        <w:trPr>
          <w:cantSplit/>
        </w:trPr>
        <w:tc>
          <w:tcPr>
            <w:tcW w:type="dxa" w:w="2494"/>
            <w:shd w:val="clear" w:color="auto" w:fill="F4F6FA"/>
          </w:tcPr>
          <w:p>
            <w:r/>
            <w:r>
              <w:rPr>
                <w:sz w:val="18"/>
              </w:rPr>
              <w:t>NYSE.2028.early_closes</w:t>
            </w:r>
          </w:p>
        </w:tc>
        <w:tc>
          <w:tcPr>
            <w:tcW w:type="dxa" w:w="1020"/>
          </w:tcPr>
          <w:p>
            <w:r/>
            <w:r>
              <w:rPr>
                <w:sz w:val="18"/>
              </w:rPr>
              <w:t>PASS</w:t>
            </w:r>
          </w:p>
        </w:tc>
        <w:tc>
          <w:tcPr>
            <w:tcW w:type="dxa" w:w="5896"/>
            <w:shd w:val="clear" w:color="auto" w:fill="F4F6FA"/>
          </w:tcPr>
          <w:p>
            <w:r/>
            <w:r>
              <w:rPr>
                <w:sz w:val="18"/>
              </w:rPr>
              <w:t>2 early close(s); minimum 1</w:t>
            </w:r>
          </w:p>
        </w:tc>
      </w:tr>
    </w:tbl>
    <w:p/>
    <w:p>
      <w:pPr>
        <w:pStyle w:val="Heading2"/>
      </w:pPr>
      <w:r>
        <w:t>Step 6: Write the files and exit with a meaningful code</w:t>
      </w:r>
    </w:p>
    <w:p>
      <w:r>
        <w:rPr>
          <w:i w:val="0"/>
        </w:rPr>
        <w:t>The combined CSV and one CSV per exchange that returned rows are written, plus validation_report.md, validation_checks.json and run_meta.json. Before overwriting, the previous combined file is copied aside so the next run can diff against it; a change of more than 30 % of rows is a FAIL. Exit code 0 means PASS or WARN, 1 means validation FAIL, 2 means an adapter crashed, and the automation treats those differently.</w:t>
      </w:r>
    </w:p>
    <w:p>
      <w:pPr>
        <w:pStyle w:val="Heading1"/>
      </w:pPr>
      <w:r>
        <w:t>4. Automation on GitHub</w:t>
      </w:r>
    </w:p>
    <w:p>
      <w:r>
        <w:rPr>
          <w:i w:val="0"/>
        </w:rPr>
        <w:t>The workflow lives at .github/workflows/trading-holidays.yml in the repository root, the only place GitHub executes workflows from.</w:t>
      </w:r>
    </w:p>
    <w:p>
      <w:pPr>
        <w:tabs>
          <w:tab w:pos="425" w:val="left"/>
        </w:tabs>
        <w:ind w:left="425" w:hanging="425"/>
      </w:pPr>
      <w:r>
        <w:rPr>
          <w:b/>
          <w:color w:val="0F8B8D"/>
        </w:rPr>
        <w:t>1.</w:t>
        <w:tab/>
      </w:r>
      <w:r>
        <w:rPr>
          <w:b/>
        </w:rPr>
        <w:t xml:space="preserve">Triggers. </w:t>
      </w:r>
      <w:r>
        <w:t>Every Monday at 06:17 UTC, plus a manual run with an exchange list and an upload switch.</w:t>
      </w:r>
    </w:p>
    <w:p>
      <w:pPr>
        <w:tabs>
          <w:tab w:pos="425" w:val="left"/>
        </w:tabs>
        <w:ind w:left="425" w:hanging="425"/>
      </w:pPr>
      <w:r>
        <w:rPr>
          <w:b/>
          <w:color w:val="0F8B8D"/>
        </w:rPr>
        <w:t>2.</w:t>
        <w:tab/>
      </w:r>
      <w:r>
        <w:rPr>
          <w:b/>
        </w:rPr>
        <w:t xml:space="preserve">Setup. </w:t>
      </w:r>
      <w:r>
        <w:t>Python 3.12, requirements.txt and Playwright's Chromium for the NASDAQ fallback.</w:t>
      </w:r>
    </w:p>
    <w:p>
      <w:pPr>
        <w:tabs>
          <w:tab w:pos="425" w:val="left"/>
        </w:tabs>
        <w:ind w:left="425" w:hanging="425"/>
      </w:pPr>
      <w:r>
        <w:rPr>
          <w:b/>
          <w:color w:val="0F8B8D"/>
        </w:rPr>
        <w:t>3.</w:t>
        <w:tab/>
      </w:r>
      <w:r>
        <w:rPr>
          <w:b/>
        </w:rPr>
        <w:t xml:space="preserve">Tests first. </w:t>
      </w:r>
      <w:r>
        <w:t>python -m pytest tests -q runs the offline fixture suite, no network.</w:t>
      </w:r>
    </w:p>
    <w:p>
      <w:pPr>
        <w:tabs>
          <w:tab w:pos="425" w:val="left"/>
        </w:tabs>
        <w:ind w:left="425" w:hanging="425"/>
      </w:pPr>
      <w:r>
        <w:rPr>
          <w:b/>
          <w:color w:val="0F8B8D"/>
        </w:rPr>
        <w:t>4.</w:t>
        <w:tab/>
      </w:r>
      <w:r>
        <w:rPr>
          <w:b/>
        </w:rPr>
        <w:t xml:space="preserve">Run with retries that make sense. </w:t>
      </w:r>
      <w:r>
        <w:t>Up to three attempts with backoff for a crash (exit 2); a validation FAIL (exit 1) stops immediately because retrying will not fix a bad calendar.</w:t>
      </w:r>
    </w:p>
    <w:p>
      <w:pPr>
        <w:tabs>
          <w:tab w:pos="425" w:val="left"/>
        </w:tabs>
        <w:ind w:left="425" w:hanging="425"/>
      </w:pPr>
      <w:r>
        <w:rPr>
          <w:b/>
          <w:color w:val="0F8B8D"/>
        </w:rPr>
        <w:t>5.</w:t>
        <w:tab/>
      </w:r>
      <w:r>
        <w:rPr>
          <w:b/>
        </w:rPr>
        <w:t xml:space="preserve">Report. </w:t>
      </w:r>
      <w:r>
        <w:t>The validation report goes into the run summary; output/ and raw/ are kept as a 90-day artifact.</w:t>
      </w:r>
    </w:p>
    <w:p>
      <w:pPr>
        <w:tabs>
          <w:tab w:pos="425" w:val="left"/>
        </w:tabs>
        <w:ind w:left="425" w:hanging="425"/>
      </w:pPr>
      <w:r>
        <w:rPr>
          <w:b/>
          <w:color w:val="0F8B8D"/>
        </w:rPr>
        <w:t>6.</w:t>
        <w:tab/>
      </w:r>
      <w:r>
        <w:rPr>
          <w:b/>
        </w:rPr>
        <w:t xml:space="preserve">Publish. </w:t>
      </w:r>
      <w:r>
        <w:t>With the Drive secrets set the files are uploaded; without them the job runs in DRY_RUN. The refreshed CSVs are committed back to the repository, skipping missing files and empty commits.</w:t>
      </w:r>
    </w:p>
    <w:p>
      <w:pPr>
        <w:tabs>
          <w:tab w:pos="425" w:val="left"/>
        </w:tabs>
        <w:ind w:left="425" w:hanging="425"/>
      </w:pPr>
      <w:r>
        <w:rPr>
          <w:b/>
          <w:color w:val="0F8B8D"/>
        </w:rPr>
        <w:t>7.</w:t>
        <w:tab/>
      </w:r>
      <w:r>
        <w:rPr>
          <w:b/>
        </w:rPr>
        <w:t xml:space="preserve">Alert. </w:t>
      </w:r>
      <w:r>
        <w:t>On failure, a Slack message with the run link and the FAIL/WARN lines, if SLACK_WEBHOOK_URL is set.</w:t>
      </w:r>
    </w:p>
    <w:tbl>
      <w:tblPr>
        <w:tblStyle w:val="TableGrid"/>
        <w:tblW w:type="auto" w:w="0"/>
        <w:jc w:val="center"/>
        <w:tblLayout w:type="fixed"/>
        <w:tblLook w:firstColumn="1" w:firstRow="1" w:lastColumn="0" w:lastRow="0" w:noHBand="0" w:noVBand="1" w:val="04A0"/>
        <w:tblLayout w:type="fixed"/>
      </w:tblPr>
      <w:tblGrid>
        <w:gridCol w:w="3175"/>
        <w:gridCol w:w="4309"/>
        <w:gridCol w:w="1928"/>
      </w:tblGrid>
      <w:tr>
        <w:trPr>
          <w:cantSplit/>
          <w:tblHeader/>
        </w:trPr>
        <w:tc>
          <w:tcPr>
            <w:tcW w:type="dxa" w:w="3175"/>
            <w:shd w:val="clear" w:color="auto" w:fill="14213D"/>
          </w:tcPr>
          <w:p>
            <w:pPr>
              <w:keepNext/>
            </w:pPr>
            <w:r/>
            <w:r>
              <w:rPr>
                <w:b/>
                <w:color w:val="FFFFFF"/>
                <w:sz w:val="19"/>
              </w:rPr>
              <w:t>Secret</w:t>
            </w:r>
          </w:p>
        </w:tc>
        <w:tc>
          <w:tcPr>
            <w:tcW w:type="dxa" w:w="4309"/>
            <w:shd w:val="clear" w:color="auto" w:fill="14213D"/>
          </w:tcPr>
          <w:p>
            <w:pPr>
              <w:keepNext/>
            </w:pPr>
            <w:r/>
            <w:r>
              <w:rPr>
                <w:b/>
                <w:color w:val="FFFFFF"/>
                <w:sz w:val="19"/>
              </w:rPr>
              <w:t>Purpose</w:t>
            </w:r>
          </w:p>
        </w:tc>
        <w:tc>
          <w:tcPr>
            <w:tcW w:type="dxa" w:w="1928"/>
            <w:shd w:val="clear" w:color="auto" w:fill="14213D"/>
          </w:tcPr>
          <w:p>
            <w:pPr>
              <w:keepNext/>
            </w:pPr>
            <w:r/>
            <w:r>
              <w:rPr>
                <w:b/>
                <w:color w:val="FFFFFF"/>
                <w:sz w:val="19"/>
              </w:rPr>
              <w:t>Required</w:t>
            </w:r>
          </w:p>
        </w:tc>
      </w:tr>
      <w:tr>
        <w:trPr>
          <w:cantSplit/>
        </w:trPr>
        <w:tc>
          <w:tcPr>
            <w:tcW w:type="dxa" w:w="3175"/>
          </w:tcPr>
          <w:p>
            <w:pPr>
              <w:keepNext/>
            </w:pPr>
            <w:r/>
            <w:r>
              <w:rPr>
                <w:sz w:val="19"/>
              </w:rPr>
              <w:t>GOOGLE_SERVICE_ACCOUNT_JSON</w:t>
            </w:r>
          </w:p>
        </w:tc>
        <w:tc>
          <w:tcPr>
            <w:tcW w:type="dxa" w:w="4309"/>
          </w:tcPr>
          <w:p>
            <w:pPr>
              <w:keepNext/>
            </w:pPr>
            <w:r/>
            <w:r>
              <w:rPr>
                <w:sz w:val="19"/>
              </w:rPr>
              <w:t>Service-account key content for the Drive API</w:t>
            </w:r>
          </w:p>
        </w:tc>
        <w:tc>
          <w:tcPr>
            <w:tcW w:type="dxa" w:w="1928"/>
          </w:tcPr>
          <w:p>
            <w:pPr>
              <w:keepNext/>
            </w:pPr>
            <w:r/>
            <w:r>
              <w:rPr>
                <w:sz w:val="19"/>
              </w:rPr>
              <w:t>For upload</w:t>
            </w:r>
          </w:p>
        </w:tc>
      </w:tr>
      <w:tr>
        <w:trPr>
          <w:cantSplit/>
        </w:trPr>
        <w:tc>
          <w:tcPr>
            <w:tcW w:type="dxa" w:w="3175"/>
            <w:shd w:val="clear" w:color="auto" w:fill="F4F6FA"/>
          </w:tcPr>
          <w:p>
            <w:pPr>
              <w:keepNext/>
            </w:pPr>
            <w:r/>
            <w:r>
              <w:rPr>
                <w:sz w:val="19"/>
              </w:rPr>
              <w:t>GDRIVE_FOLDER_ID</w:t>
            </w:r>
          </w:p>
        </w:tc>
        <w:tc>
          <w:tcPr>
            <w:tcW w:type="dxa" w:w="4309"/>
            <w:shd w:val="clear" w:color="auto" w:fill="F4F6FA"/>
          </w:tcPr>
          <w:p>
            <w:pPr>
              <w:keepNext/>
            </w:pPr>
            <w:r/>
            <w:r>
              <w:rPr>
                <w:sz w:val="19"/>
              </w:rPr>
              <w:t>Target folder; empty means DRY_RUN</w:t>
            </w:r>
          </w:p>
        </w:tc>
        <w:tc>
          <w:tcPr>
            <w:tcW w:type="dxa" w:w="1928"/>
            <w:shd w:val="clear" w:color="auto" w:fill="F4F6FA"/>
          </w:tcPr>
          <w:p>
            <w:pPr>
              <w:keepNext/>
            </w:pPr>
            <w:r/>
            <w:r>
              <w:rPr>
                <w:sz w:val="19"/>
              </w:rPr>
              <w:t>For upload</w:t>
            </w:r>
          </w:p>
        </w:tc>
      </w:tr>
      <w:tr>
        <w:trPr>
          <w:cantSplit/>
        </w:trPr>
        <w:tc>
          <w:tcPr>
            <w:tcW w:type="dxa" w:w="3175"/>
          </w:tcPr>
          <w:p>
            <w:pPr>
              <w:keepNext/>
            </w:pPr>
            <w:r/>
            <w:r>
              <w:rPr>
                <w:sz w:val="19"/>
              </w:rPr>
              <w:t>SLACK_WEBHOOK_URL</w:t>
            </w:r>
          </w:p>
        </w:tc>
        <w:tc>
          <w:tcPr>
            <w:tcW w:type="dxa" w:w="4309"/>
          </w:tcPr>
          <w:p>
            <w:pPr>
              <w:keepNext/>
            </w:pPr>
            <w:r/>
            <w:r>
              <w:rPr>
                <w:sz w:val="19"/>
              </w:rPr>
              <w:t>Failure alerts</w:t>
            </w:r>
          </w:p>
        </w:tc>
        <w:tc>
          <w:tcPr>
            <w:tcW w:type="dxa" w:w="1928"/>
          </w:tcPr>
          <w:p>
            <w:pPr>
              <w:keepNext/>
            </w:pPr>
            <w:r/>
            <w:r>
              <w:rPr>
                <w:sz w:val="19"/>
              </w:rPr>
              <w:t>Optional</w:t>
            </w:r>
          </w:p>
        </w:tc>
      </w:tr>
      <w:tr>
        <w:trPr>
          <w:cantSplit/>
        </w:trPr>
        <w:tc>
          <w:tcPr>
            <w:tcW w:type="dxa" w:w="3175"/>
            <w:shd w:val="clear" w:color="auto" w:fill="F4F6FA"/>
          </w:tcPr>
          <w:p>
            <w:r/>
            <w:r>
              <w:rPr>
                <w:sz w:val="19"/>
              </w:rPr>
              <w:t>GDRIVE_SHARE_WITH (variable)</w:t>
            </w:r>
          </w:p>
        </w:tc>
        <w:tc>
          <w:tcPr>
            <w:tcW w:type="dxa" w:w="4309"/>
            <w:shd w:val="clear" w:color="auto" w:fill="F4F6FA"/>
          </w:tcPr>
          <w:p>
            <w:r/>
            <w:r>
              <w:rPr>
                <w:sz w:val="19"/>
              </w:rPr>
              <w:t>Comma-separated readers to share with</w:t>
            </w:r>
          </w:p>
        </w:tc>
        <w:tc>
          <w:tcPr>
            <w:tcW w:type="dxa" w:w="1928"/>
            <w:shd w:val="clear" w:color="auto" w:fill="F4F6FA"/>
          </w:tcPr>
          <w:p>
            <w:r/>
            <w:r>
              <w:rPr>
                <w:sz w:val="19"/>
              </w:rPr>
              <w:t>Optional</w:t>
            </w:r>
          </w:p>
        </w:tc>
      </w:tr>
    </w:tbl>
    <w:p/>
    <w:p>
      <w:r>
        <w:rPr>
          <w:b/>
        </w:rPr>
        <w:t xml:space="preserve">What 'fetch everything' can and cannot mean. </w:t>
      </w:r>
      <w:r>
        <w:rPr>
          <w:i w:val="0"/>
        </w:rPr>
        <w:t>The job fetches NYSE, NASDAQ and every OPRA PDF linked from opraplan.com. It does not fetch CME and it does not invent an OPRA 2026 calendar. CME rows appear when the downloaded files are in input/cme/; those files are not in the repository, so the scheduled run on GitHub publishes no CME rows unless they are provided to it.</w:t>
      </w:r>
    </w:p>
    <w:p>
      <w:pPr>
        <w:pStyle w:val="Heading1"/>
      </w:pPr>
      <w:r>
        <w:t>5. What was not done, and why</w:t>
      </w:r>
    </w:p>
    <w:tbl>
      <w:tblPr>
        <w:tblStyle w:val="TableGrid"/>
        <w:tblW w:type="auto" w:w="0"/>
        <w:jc w:val="center"/>
        <w:tblLayout w:type="fixed"/>
        <w:tblLook w:firstColumn="1" w:firstRow="1" w:lastColumn="0" w:lastRow="0" w:noHBand="0" w:noVBand="1" w:val="04A0"/>
        <w:tblLayout w:type="fixed"/>
      </w:tblPr>
      <w:tblGrid>
        <w:gridCol w:w="2948"/>
        <w:gridCol w:w="1361"/>
        <w:gridCol w:w="5102"/>
      </w:tblGrid>
      <w:tr>
        <w:trPr>
          <w:cantSplit/>
          <w:tblHeader/>
        </w:trPr>
        <w:tc>
          <w:tcPr>
            <w:tcW w:type="dxa" w:w="2948"/>
            <w:shd w:val="clear" w:color="auto" w:fill="14213D"/>
          </w:tcPr>
          <w:p>
            <w:pPr>
              <w:keepNext/>
            </w:pPr>
            <w:r/>
            <w:r>
              <w:rPr>
                <w:b/>
                <w:color w:val="FFFFFF"/>
                <w:sz w:val="19"/>
              </w:rPr>
              <w:t>Item</w:t>
            </w:r>
          </w:p>
        </w:tc>
        <w:tc>
          <w:tcPr>
            <w:tcW w:type="dxa" w:w="1361"/>
            <w:shd w:val="clear" w:color="auto" w:fill="14213D"/>
          </w:tcPr>
          <w:p>
            <w:pPr>
              <w:keepNext/>
            </w:pPr>
            <w:r/>
            <w:r>
              <w:rPr>
                <w:b/>
                <w:color w:val="FFFFFF"/>
                <w:sz w:val="19"/>
              </w:rPr>
              <w:t>Status</w:t>
            </w:r>
          </w:p>
        </w:tc>
        <w:tc>
          <w:tcPr>
            <w:tcW w:type="dxa" w:w="5102"/>
            <w:shd w:val="clear" w:color="auto" w:fill="14213D"/>
          </w:tcPr>
          <w:p>
            <w:pPr>
              <w:keepNext/>
            </w:pPr>
            <w:r/>
            <w:r>
              <w:rPr>
                <w:b/>
                <w:color w:val="FFFFFF"/>
                <w:sz w:val="19"/>
              </w:rPr>
              <w:t>Why</w:t>
            </w:r>
          </w:p>
        </w:tc>
      </w:tr>
      <w:tr>
        <w:trPr>
          <w:cantSplit/>
        </w:trPr>
        <w:tc>
          <w:tcPr>
            <w:tcW w:type="dxa" w:w="2948"/>
          </w:tcPr>
          <w:p>
            <w:pPr>
              <w:keepNext/>
            </w:pPr>
            <w:r/>
            <w:r>
              <w:rPr>
                <w:sz w:val="19"/>
              </w:rPr>
              <w:t>Drive upload through the API</w:t>
            </w:r>
          </w:p>
        </w:tc>
        <w:tc>
          <w:tcPr>
            <w:tcW w:type="dxa" w:w="1361"/>
            <w:shd w:val="clear" w:color="auto" w:fill="E9A23B"/>
          </w:tcPr>
          <w:p>
            <w:pPr>
              <w:keepNext/>
            </w:pPr>
            <w:r/>
            <w:r>
              <w:rPr>
                <w:b/>
                <w:color w:val="FFFFFF"/>
                <w:sz w:val="19"/>
              </w:rPr>
              <w:t>Partial</w:t>
            </w:r>
          </w:p>
        </w:tc>
        <w:tc>
          <w:tcPr>
            <w:tcW w:type="dxa" w:w="5102"/>
          </w:tcPr>
          <w:p>
            <w:pPr>
              <w:keepNext/>
            </w:pPr>
            <w:r/>
            <w:r>
              <w:rPr>
                <w:sz w:val="19"/>
              </w:rPr>
              <w:t>No service account in this environment; files uploaded by hand, API path unverified</w:t>
            </w:r>
          </w:p>
        </w:tc>
      </w:tr>
      <w:tr>
        <w:trPr>
          <w:cantSplit/>
        </w:trPr>
        <w:tc>
          <w:tcPr>
            <w:tcW w:type="dxa" w:w="2948"/>
            <w:shd w:val="clear" w:color="auto" w:fill="F4F6FA"/>
          </w:tcPr>
          <w:p>
            <w:pPr>
              <w:keepNext/>
            </w:pPr>
            <w:r/>
            <w:r>
              <w:rPr>
                <w:sz w:val="19"/>
              </w:rPr>
              <w:t>CME automated scrape</w:t>
            </w:r>
          </w:p>
        </w:tc>
        <w:tc>
          <w:tcPr>
            <w:tcW w:type="dxa" w:w="1361"/>
            <w:shd w:val="clear" w:color="auto" w:fill="E76F51"/>
          </w:tcPr>
          <w:p>
            <w:pPr>
              <w:keepNext/>
            </w:pPr>
            <w:r/>
            <w:r>
              <w:rPr>
                <w:b/>
                <w:color w:val="FFFFFF"/>
                <w:sz w:val="19"/>
              </w:rPr>
              <w:t>Not done</w:t>
            </w:r>
          </w:p>
        </w:tc>
        <w:tc>
          <w:tcPr>
            <w:tcW w:type="dxa" w:w="5102"/>
            <w:shd w:val="clear" w:color="auto" w:fill="F4F6FA"/>
          </w:tcPr>
          <w:p>
            <w:pPr>
              <w:keepNext/>
            </w:pPr>
            <w:r/>
            <w:r>
              <w:rPr>
                <w:sz w:val="19"/>
              </w:rPr>
              <w:t>403 + Data Terms of Use; rows come from manual Trading Hours xlsx instead</w:t>
            </w:r>
          </w:p>
        </w:tc>
      </w:tr>
      <w:tr>
        <w:trPr>
          <w:cantSplit/>
        </w:trPr>
        <w:tc>
          <w:tcPr>
            <w:tcW w:type="dxa" w:w="2948"/>
          </w:tcPr>
          <w:p>
            <w:pPr>
              <w:keepNext/>
            </w:pPr>
            <w:r/>
            <w:r>
              <w:rPr>
                <w:sz w:val="19"/>
              </w:rPr>
              <w:t>NASDAQ 2027</w:t>
            </w:r>
          </w:p>
        </w:tc>
        <w:tc>
          <w:tcPr>
            <w:tcW w:type="dxa" w:w="1361"/>
          </w:tcPr>
          <w:p>
            <w:pPr>
              <w:keepNext/>
            </w:pPr>
            <w:r/>
            <w:r>
              <w:rPr>
                <w:sz w:val="19"/>
              </w:rPr>
              <w:t>Not published</w:t>
            </w:r>
          </w:p>
        </w:tc>
        <w:tc>
          <w:tcPr>
            <w:tcW w:type="dxa" w:w="5102"/>
          </w:tcPr>
          <w:p>
            <w:pPr>
              <w:keepNext/>
            </w:pPr>
            <w:r/>
            <w:r>
              <w:rPr>
                <w:sz w:val="19"/>
              </w:rPr>
              <w:t>nasdaqtrader.com calendar is current year only; no 2027 table to fetch</w:t>
            </w:r>
          </w:p>
        </w:tc>
      </w:tr>
      <w:tr>
        <w:trPr>
          <w:cantSplit/>
        </w:trPr>
        <w:tc>
          <w:tcPr>
            <w:tcW w:type="dxa" w:w="2948"/>
            <w:shd w:val="clear" w:color="auto" w:fill="F4F6FA"/>
          </w:tcPr>
          <w:p>
            <w:pPr>
              <w:keepNext/>
            </w:pPr>
            <w:r/>
            <w:r>
              <w:rPr>
                <w:sz w:val="19"/>
              </w:rPr>
              <w:t>OPRA 2026 / 2027</w:t>
            </w:r>
          </w:p>
        </w:tc>
        <w:tc>
          <w:tcPr>
            <w:tcW w:type="dxa" w:w="1361"/>
            <w:shd w:val="clear" w:color="auto" w:fill="E76F51"/>
          </w:tcPr>
          <w:p>
            <w:pPr>
              <w:keepNext/>
            </w:pPr>
            <w:r/>
            <w:r>
              <w:rPr>
                <w:b/>
                <w:color w:val="FFFFFF"/>
                <w:sz w:val="19"/>
              </w:rPr>
              <w:t>Blocked</w:t>
            </w:r>
          </w:p>
        </w:tc>
        <w:tc>
          <w:tcPr>
            <w:tcW w:type="dxa" w:w="5102"/>
            <w:shd w:val="clear" w:color="auto" w:fill="F4F6FA"/>
          </w:tcPr>
          <w:p>
            <w:pPr>
              <w:keepNext/>
            </w:pPr>
            <w:r/>
            <w:r>
              <w:rPr>
                <w:sz w:val="19"/>
              </w:rPr>
              <w:t>2026 PDF URL returned 403; 2027 not posted on opraplan.com</w:t>
            </w:r>
          </w:p>
        </w:tc>
      </w:tr>
      <w:tr>
        <w:trPr>
          <w:cantSplit/>
        </w:trPr>
        <w:tc>
          <w:tcPr>
            <w:tcW w:type="dxa" w:w="2948"/>
          </w:tcPr>
          <w:p>
            <w:pPr>
              <w:keepNext/>
            </w:pPr>
            <w:r/>
            <w:r>
              <w:rPr>
                <w:sz w:val="19"/>
              </w:rPr>
              <w:t>nasdaq.com via Playwright, live</w:t>
            </w:r>
          </w:p>
        </w:tc>
        <w:tc>
          <w:tcPr>
            <w:tcW w:type="dxa" w:w="1361"/>
            <w:shd w:val="clear" w:color="auto" w:fill="E9A23B"/>
          </w:tcPr>
          <w:p>
            <w:pPr>
              <w:keepNext/>
            </w:pPr>
            <w:r/>
            <w:r>
              <w:rPr>
                <w:b/>
                <w:color w:val="FFFFFF"/>
                <w:sz w:val="19"/>
              </w:rPr>
              <w:t>Partial</w:t>
            </w:r>
          </w:p>
        </w:tc>
        <w:tc>
          <w:tcPr>
            <w:tcW w:type="dxa" w:w="5102"/>
          </w:tcPr>
          <w:p>
            <w:pPr>
              <w:keepNext/>
            </w:pPr>
            <w:r/>
            <w:r>
              <w:rPr>
                <w:sz w:val="19"/>
              </w:rPr>
              <w:t>Tested on a saved page; not needed live</w:t>
            </w:r>
          </w:p>
        </w:tc>
      </w:tr>
      <w:tr>
        <w:trPr>
          <w:cantSplit/>
        </w:trPr>
        <w:tc>
          <w:tcPr>
            <w:tcW w:type="dxa" w:w="2948"/>
            <w:shd w:val="clear" w:color="auto" w:fill="F4F6FA"/>
          </w:tcPr>
          <w:p>
            <w:r/>
            <w:r>
              <w:rPr>
                <w:sz w:val="19"/>
              </w:rPr>
              <w:t>Cross-check with a third-party holiday library</w:t>
            </w:r>
          </w:p>
        </w:tc>
        <w:tc>
          <w:tcPr>
            <w:tcW w:type="dxa" w:w="1361"/>
            <w:shd w:val="clear" w:color="auto" w:fill="E76F51"/>
          </w:tcPr>
          <w:p>
            <w:r/>
            <w:r>
              <w:rPr>
                <w:b/>
                <w:color w:val="FFFFFF"/>
                <w:sz w:val="19"/>
              </w:rPr>
              <w:t>Not done</w:t>
            </w:r>
          </w:p>
        </w:tc>
        <w:tc>
          <w:tcPr>
            <w:tcW w:type="dxa" w:w="5102"/>
            <w:shd w:val="clear" w:color="auto" w:fill="F4F6FA"/>
          </w:tcPr>
          <w:p>
            <w:r/>
            <w:r>
              <w:rPr>
                <w:sz w:val="19"/>
              </w:rPr>
              <w:t>Considered; the NYSE–NASDAQ cross-check already covers 2026</w:t>
            </w:r>
          </w:p>
        </w:tc>
      </w:tr>
    </w:tbl>
    <w:p/>
    <w:p>
      <w:pPr>
        <w:pStyle w:val="Heading1"/>
      </w:pPr>
      <w:r>
        <w:t>6. Adding another exchange</w:t>
      </w:r>
    </w:p>
    <w:p>
      <w:pPr>
        <w:tabs>
          <w:tab w:pos="425" w:val="left"/>
        </w:tabs>
        <w:ind w:left="425" w:hanging="425"/>
      </w:pPr>
      <w:r>
        <w:rPr>
          <w:b/>
          <w:color w:val="0F8B8D"/>
        </w:rPr>
        <w:t>1.</w:t>
        <w:tab/>
      </w:r>
      <w:r>
        <w:t>Create scraper/adapters/&lt;name&gt;.py with the exchange, time zone, source URL and scope, implementing scrape() and parse().</w:t>
      </w:r>
    </w:p>
    <w:p>
      <w:pPr>
        <w:tabs>
          <w:tab w:pos="425" w:val="left"/>
        </w:tabs>
        <w:ind w:left="425" w:hanging="425"/>
      </w:pPr>
      <w:r>
        <w:rPr>
          <w:b/>
          <w:color w:val="0F8B8D"/>
        </w:rPr>
        <w:t>2.</w:t>
        <w:tab/>
      </w:r>
      <w:r>
        <w:t>Use self.fetch so raw bodies are kept, and self.row(...) so the schema stays aligned.</w:t>
      </w:r>
    </w:p>
    <w:p>
      <w:pPr>
        <w:tabs>
          <w:tab w:pos="425" w:val="left"/>
        </w:tabs>
        <w:ind w:left="425" w:hanging="425"/>
      </w:pPr>
      <w:r>
        <w:rPr>
          <w:b/>
          <w:color w:val="0F8B8D"/>
        </w:rPr>
        <w:t>3.</w:t>
        <w:tab/>
      </w:r>
      <w:r>
        <w:t>Register it in scraper/adapters/__init__.py and give it a plausible closure band in validate.PLAUSIBLE_CLOSURES.</w:t>
      </w:r>
    </w:p>
    <w:p>
      <w:pPr>
        <w:tabs>
          <w:tab w:pos="425" w:val="left"/>
        </w:tabs>
        <w:ind w:left="425" w:hanging="425"/>
      </w:pPr>
      <w:r>
        <w:rPr>
          <w:b/>
          <w:color w:val="0F8B8D"/>
        </w:rPr>
        <w:t>4.</w:t>
        <w:tab/>
      </w:r>
      <w:r>
        <w:t>Save a fixture under tests/fixtures/ and add an offline parser test.</w:t>
      </w:r>
    </w:p>
    <w:p>
      <w:pPr>
        <w:tabs>
          <w:tab w:pos="425" w:val="left"/>
        </w:tabs>
        <w:ind w:left="425" w:hanging="425"/>
      </w:pPr>
      <w:r>
        <w:rPr>
          <w:b/>
          <w:color w:val="0F8B8D"/>
        </w:rPr>
        <w:t>5.</w:t>
        <w:tab/>
      </w:r>
      <w:r>
        <w:t>Add the name to the workflow's default exchange list.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77D"/>
        <w:sz w:val="17"/>
      </w:rPr>
      <w:t>Task A — trading-holiday scraper · deliverables/taskA_holidays/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F8B8D"/>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5C67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