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B244" w14:textId="77777777" w:rsidR="00F46AA3" w:rsidRDefault="00F46AA3" w:rsidP="00F46AA3">
      <w:pPr>
        <w:spacing w:after="0" w:line="240" w:lineRule="auto"/>
      </w:pPr>
      <w:r>
        <w:t>4. Return on Investment (ROI) Analysis</w:t>
      </w:r>
    </w:p>
    <w:p w14:paraId="3081E7CB" w14:textId="77777777" w:rsidR="00F46AA3" w:rsidRDefault="00F46AA3" w:rsidP="00F46AA3">
      <w:pPr>
        <w:spacing w:after="0" w:line="240" w:lineRule="auto"/>
      </w:pPr>
    </w:p>
    <w:p w14:paraId="02A631CA" w14:textId="77777777" w:rsidR="00F46AA3" w:rsidRDefault="00F46AA3" w:rsidP="00F46AA3">
      <w:pPr>
        <w:spacing w:after="0" w:line="240" w:lineRule="auto"/>
      </w:pPr>
      <w:r>
        <w:t>4.1 The Geography of Value While Section 3 highlighted the significant variance in the cost of attendance across the United States, it is equally critical to examine the financial payoff of that investment. By aggregating 40-year Net Present Value (NPV) data, we generated a state-level map of Return on Investment (ROI) to determine if higher costs correlate with higher earnings.</w:t>
      </w:r>
    </w:p>
    <w:p w14:paraId="3CD0BA18" w14:textId="77777777" w:rsidR="00F46AA3" w:rsidRDefault="00F46AA3" w:rsidP="00F46AA3">
      <w:pPr>
        <w:spacing w:after="0" w:line="240" w:lineRule="auto"/>
      </w:pPr>
    </w:p>
    <w:p w14:paraId="2E800EE7" w14:textId="77777777" w:rsidR="00F46AA3" w:rsidRDefault="00F46AA3" w:rsidP="00F46AA3">
      <w:pPr>
        <w:spacing w:after="0" w:line="240" w:lineRule="auto"/>
      </w:pPr>
      <w:r>
        <w:t>[INSERT FIGURE 1 (THE GREEN MAP) HERE]</w:t>
      </w:r>
    </w:p>
    <w:p w14:paraId="01C878C8" w14:textId="77777777" w:rsidR="00F46AA3" w:rsidRDefault="00F46AA3" w:rsidP="00F46AA3">
      <w:pPr>
        <w:spacing w:after="0" w:line="240" w:lineRule="auto"/>
      </w:pPr>
    </w:p>
    <w:p w14:paraId="02CE415D" w14:textId="77777777" w:rsidR="00F46AA3" w:rsidRDefault="00F46AA3" w:rsidP="00F46AA3">
      <w:pPr>
        <w:spacing w:after="0" w:line="240" w:lineRule="auto"/>
      </w:pPr>
      <w:r>
        <w:t>The data reveals a "High Cost, High Reward" dynamic. States that were identified in the previous section as having the highest costs of attendance—specifically Massachusetts (MA) and California (CA)—also appear in the top tier for ROI, with average returns exceeding $500,000 over a graduate's career. Washington D.C. leads the nation with an average ROI of nearly $679,000, reflecting the high earning potential of its localized labor market.</w:t>
      </w:r>
    </w:p>
    <w:p w14:paraId="3DAE42D0" w14:textId="77777777" w:rsidR="00F46AA3" w:rsidRDefault="00F46AA3" w:rsidP="00F46AA3">
      <w:pPr>
        <w:spacing w:after="0" w:line="240" w:lineRule="auto"/>
      </w:pPr>
    </w:p>
    <w:p w14:paraId="6145EE9C" w14:textId="77777777" w:rsidR="00F46AA3" w:rsidRDefault="00F46AA3" w:rsidP="00F46AA3">
      <w:pPr>
        <w:spacing w:after="0" w:line="240" w:lineRule="auto"/>
      </w:pPr>
      <w:r>
        <w:t>This suggests that while the barrier to entry (tuition) in these coastal regions is high, the labor market outcomes often justify the initial expense. Conversely, states with lower tuition costs do not always guarantee a high ROI, emphasizing that "affordability" must be balanced against "earning potential."</w:t>
      </w:r>
    </w:p>
    <w:p w14:paraId="52DFD30D" w14:textId="77777777" w:rsidR="00F46AA3" w:rsidRDefault="00F46AA3" w:rsidP="00F46AA3">
      <w:pPr>
        <w:spacing w:after="0" w:line="240" w:lineRule="auto"/>
      </w:pPr>
    </w:p>
    <w:p w14:paraId="6FB087A4" w14:textId="77777777" w:rsidR="00F46AA3" w:rsidRDefault="00F46AA3" w:rsidP="00F46AA3">
      <w:pPr>
        <w:spacing w:after="0" w:line="240" w:lineRule="auto"/>
      </w:pPr>
      <w:r>
        <w:t>4.2 Value by Field of Study When analyzing ROI by degree type, a stark hierarchy emerges that mirrors the tuition stratification observed earlier.</w:t>
      </w:r>
    </w:p>
    <w:p w14:paraId="62508A53" w14:textId="77777777" w:rsidR="00F46AA3" w:rsidRDefault="00F46AA3" w:rsidP="00F46AA3">
      <w:pPr>
        <w:spacing w:after="0" w:line="240" w:lineRule="auto"/>
      </w:pPr>
    </w:p>
    <w:p w14:paraId="46D773C9" w14:textId="77777777" w:rsidR="00F46AA3" w:rsidRDefault="00F46AA3" w:rsidP="00F46AA3">
      <w:pPr>
        <w:spacing w:after="0" w:line="240" w:lineRule="auto"/>
      </w:pPr>
      <w:r>
        <w:t>[INSERT FIGURE 2 (THE BLUE BAR CHART) HERE]</w:t>
      </w:r>
    </w:p>
    <w:p w14:paraId="5281B37F" w14:textId="77777777" w:rsidR="00F46AA3" w:rsidRDefault="00F46AA3" w:rsidP="00F46AA3">
      <w:pPr>
        <w:spacing w:after="0" w:line="240" w:lineRule="auto"/>
      </w:pPr>
    </w:p>
    <w:p w14:paraId="54CFE1EE" w14:textId="77777777" w:rsidR="00F46AA3" w:rsidRDefault="00F46AA3" w:rsidP="00F46AA3">
      <w:pPr>
        <w:spacing w:after="0" w:line="240" w:lineRule="auto"/>
      </w:pPr>
      <w:r>
        <w:t xml:space="preserve">As shown in the figure above, the choice of </w:t>
      </w:r>
      <w:proofErr w:type="gramStart"/>
      <w:r>
        <w:t>major</w:t>
      </w:r>
      <w:proofErr w:type="gramEnd"/>
      <w:r>
        <w:t xml:space="preserve"> is a primary driver of financial success:</w:t>
      </w:r>
    </w:p>
    <w:p w14:paraId="461B5CA6" w14:textId="77777777" w:rsidR="00F46AA3" w:rsidRDefault="00F46AA3" w:rsidP="00F46AA3">
      <w:pPr>
        <w:spacing w:after="0" w:line="240" w:lineRule="auto"/>
      </w:pPr>
    </w:p>
    <w:p w14:paraId="22BE2971" w14:textId="77777777" w:rsidR="00F46AA3" w:rsidRDefault="00F46AA3" w:rsidP="00F46AA3">
      <w:pPr>
        <w:spacing w:after="0" w:line="240" w:lineRule="auto"/>
      </w:pPr>
      <w:r>
        <w:t>Healthcare and STEM degrees dominate the value landscape, with average 40-year returns approaching $702,000 and $586,000 respectively.</w:t>
      </w:r>
    </w:p>
    <w:p w14:paraId="7448A56C" w14:textId="77777777" w:rsidR="00F46AA3" w:rsidRDefault="00F46AA3" w:rsidP="00F46AA3">
      <w:pPr>
        <w:spacing w:after="0" w:line="240" w:lineRule="auto"/>
      </w:pPr>
    </w:p>
    <w:p w14:paraId="21FF041E" w14:textId="77777777" w:rsidR="00F46AA3" w:rsidRDefault="00F46AA3" w:rsidP="00F46AA3">
      <w:pPr>
        <w:spacing w:after="0" w:line="240" w:lineRule="auto"/>
      </w:pPr>
      <w:r>
        <w:t>Business degrees occupy the middle tier (~$510,000), offering a solid return that outperforms the national average.</w:t>
      </w:r>
    </w:p>
    <w:p w14:paraId="4F4DAB52" w14:textId="77777777" w:rsidR="00F46AA3" w:rsidRDefault="00F46AA3" w:rsidP="00F46AA3">
      <w:pPr>
        <w:spacing w:after="0" w:line="240" w:lineRule="auto"/>
      </w:pPr>
    </w:p>
    <w:p w14:paraId="71B23A02" w14:textId="77777777" w:rsidR="00F46AA3" w:rsidRDefault="00F46AA3" w:rsidP="00F46AA3">
      <w:pPr>
        <w:spacing w:after="0" w:line="240" w:lineRule="auto"/>
      </w:pPr>
      <w:r>
        <w:t xml:space="preserve">Arts, Humanities, and Education degrees show the lowest financial returns, with Education majors averaging approximately $111,000 over 40 </w:t>
      </w:r>
      <w:proofErr w:type="gramStart"/>
      <w:r>
        <w:t>years—</w:t>
      </w:r>
      <w:proofErr w:type="gramEnd"/>
      <w:r>
        <w:t xml:space="preserve">nearly 6x less than their peers in </w:t>
      </w:r>
      <w:proofErr w:type="gramStart"/>
      <w:r>
        <w:t>Healthcare</w:t>
      </w:r>
      <w:proofErr w:type="gramEnd"/>
      <w:r>
        <w:t>.</w:t>
      </w:r>
    </w:p>
    <w:p w14:paraId="5D685B08" w14:textId="77777777" w:rsidR="00F46AA3" w:rsidRDefault="00F46AA3" w:rsidP="00F46AA3">
      <w:pPr>
        <w:spacing w:after="0" w:line="240" w:lineRule="auto"/>
      </w:pPr>
    </w:p>
    <w:p w14:paraId="215D56C3" w14:textId="077928F0" w:rsidR="006D03E4" w:rsidRDefault="00F46AA3" w:rsidP="00F46AA3">
      <w:pPr>
        <w:spacing w:after="0" w:line="240" w:lineRule="auto"/>
      </w:pPr>
      <w:r>
        <w:t xml:space="preserve">This disparity creates a "Value Gap" that students must navigate. While a low-cost degree in Education may seem "affordable" upfront, its long-term financial yield is significantly lower than a high-cost degree in </w:t>
      </w:r>
      <w:proofErr w:type="gramStart"/>
      <w:r>
        <w:t>Healthcare</w:t>
      </w:r>
      <w:proofErr w:type="gramEnd"/>
      <w:r>
        <w:t>. This analysis suggests that measuring the "Bang for Buck" of a college degree requires looking beyond just the sticker price (Tuition) to the structural earning power of the chosen major.</w:t>
      </w:r>
    </w:p>
    <w:sectPr w:rsidR="006D03E4" w:rsidSect="00587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14"/>
    <w:rsid w:val="00343260"/>
    <w:rsid w:val="004E18B5"/>
    <w:rsid w:val="004F6D43"/>
    <w:rsid w:val="005876C4"/>
    <w:rsid w:val="006D03E4"/>
    <w:rsid w:val="00862565"/>
    <w:rsid w:val="009A1482"/>
    <w:rsid w:val="009B39C2"/>
    <w:rsid w:val="00A07C6E"/>
    <w:rsid w:val="00A96E3E"/>
    <w:rsid w:val="00B853D0"/>
    <w:rsid w:val="00D67C14"/>
    <w:rsid w:val="00F46AA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DEEDD-E715-44C1-B9FF-ED71CE3C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C14"/>
    <w:rPr>
      <w:rFonts w:eastAsiaTheme="majorEastAsia" w:cstheme="majorBidi"/>
      <w:color w:val="272727" w:themeColor="text1" w:themeTint="D8"/>
    </w:rPr>
  </w:style>
  <w:style w:type="paragraph" w:styleId="Title">
    <w:name w:val="Title"/>
    <w:basedOn w:val="Normal"/>
    <w:next w:val="Normal"/>
    <w:link w:val="TitleChar"/>
    <w:uiPriority w:val="10"/>
    <w:qFormat/>
    <w:rsid w:val="00D67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C14"/>
    <w:pPr>
      <w:spacing w:before="160"/>
      <w:jc w:val="center"/>
    </w:pPr>
    <w:rPr>
      <w:i/>
      <w:iCs/>
      <w:color w:val="404040" w:themeColor="text1" w:themeTint="BF"/>
    </w:rPr>
  </w:style>
  <w:style w:type="character" w:customStyle="1" w:styleId="QuoteChar">
    <w:name w:val="Quote Char"/>
    <w:basedOn w:val="DefaultParagraphFont"/>
    <w:link w:val="Quote"/>
    <w:uiPriority w:val="29"/>
    <w:rsid w:val="00D67C14"/>
    <w:rPr>
      <w:i/>
      <w:iCs/>
      <w:color w:val="404040" w:themeColor="text1" w:themeTint="BF"/>
    </w:rPr>
  </w:style>
  <w:style w:type="paragraph" w:styleId="ListParagraph">
    <w:name w:val="List Paragraph"/>
    <w:basedOn w:val="Normal"/>
    <w:uiPriority w:val="34"/>
    <w:qFormat/>
    <w:rsid w:val="00D67C14"/>
    <w:pPr>
      <w:ind w:left="720"/>
      <w:contextualSpacing/>
    </w:pPr>
  </w:style>
  <w:style w:type="character" w:styleId="IntenseEmphasis">
    <w:name w:val="Intense Emphasis"/>
    <w:basedOn w:val="DefaultParagraphFont"/>
    <w:uiPriority w:val="21"/>
    <w:qFormat/>
    <w:rsid w:val="00D67C14"/>
    <w:rPr>
      <w:i/>
      <w:iCs/>
      <w:color w:val="0F4761" w:themeColor="accent1" w:themeShade="BF"/>
    </w:rPr>
  </w:style>
  <w:style w:type="paragraph" w:styleId="IntenseQuote">
    <w:name w:val="Intense Quote"/>
    <w:basedOn w:val="Normal"/>
    <w:next w:val="Normal"/>
    <w:link w:val="IntenseQuoteChar"/>
    <w:uiPriority w:val="30"/>
    <w:qFormat/>
    <w:rsid w:val="00D6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C14"/>
    <w:rPr>
      <w:i/>
      <w:iCs/>
      <w:color w:val="0F4761" w:themeColor="accent1" w:themeShade="BF"/>
    </w:rPr>
  </w:style>
  <w:style w:type="character" w:styleId="IntenseReference">
    <w:name w:val="Intense Reference"/>
    <w:basedOn w:val="DefaultParagraphFont"/>
    <w:uiPriority w:val="32"/>
    <w:qFormat/>
    <w:rsid w:val="00D67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LWAMBA</dc:creator>
  <cp:keywords/>
  <dc:description/>
  <cp:lastModifiedBy>ISRAEL LWAMBA</cp:lastModifiedBy>
  <cp:revision>3</cp:revision>
  <dcterms:created xsi:type="dcterms:W3CDTF">2025-12-10T08:23:00Z</dcterms:created>
  <dcterms:modified xsi:type="dcterms:W3CDTF">2025-12-10T11:11:00Z</dcterms:modified>
</cp:coreProperties>
</file>