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6.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98.png" ContentType="image/png"/>
  <Override PartName="/word/media/rId100.png" ContentType="image/png"/>
  <Override PartName="/word/media/rId104.png" ContentType="image/png"/>
  <Override PartName="/word/media/rId106.png" ContentType="image/png"/>
  <Override PartName="/word/media/rId112.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108.png" ContentType="image/png"/>
  <Override PartName="/word/media/rId110.png" ContentType="image/png"/>
  <Override PartName="/word/media/rId93.png" ContentType="image/png"/>
  <Override PartName="/word/media/rId95.png" ContentType="image/png"/>
  <Override PartName="/word/media/rId118.png" ContentType="image/png"/>
  <Override PartName="/word/media/rId120.png" ContentType="image/png"/>
  <Override PartName="/word/media/rId122.png" ContentType="image/png"/>
  <Override PartName="/word/media/rId124.png" ContentType="image/png"/>
  <Override PartName="/word/media/rId126.png" ContentType="image/png"/>
  <Override PartName="/word/media/rId134.png" ContentType="image/png"/>
  <Override PartName="/word/media/rId139.png" ContentType="image/png"/>
  <Override PartName="/word/media/rId141.png" ContentType="image/png"/>
  <Override PartName="/word/media/rId151.png" ContentType="image/png"/>
  <Override PartName="/word/media/rId153.png" ContentType="image/png"/>
  <Override PartName="/word/media/rId158.png" ContentType="image/png"/>
  <Override PartName="/word/media/rId160.png" ContentType="image/png"/>
  <Override PartName="/word/media/rId162.png" ContentType="image/png"/>
  <Override PartName="/word/media/rId164.png" ContentType="image/png"/>
  <Override PartName="/word/media/rId167.png" ContentType="image/png"/>
  <Override PartName="/word/media/rId1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17"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0.3156049</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iCs/>
          <w:i/>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w:t>
      </w:r>
      <w:r>
        <w:t xml:space="preserve"> </w:t>
      </w:r>
      <m:oMath>
        <m:r>
          <m:t>x</m:t>
        </m:r>
      </m:oMath>
      <w:r>
        <w:t xml:space="preserve">?</w:t>
      </w:r>
      <w:r>
        <w:t xml:space="preserve"> </w:t>
      </w:r>
      <w:r>
        <w:t xml:space="preserve">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w:t>
      </w:r>
      <w:r>
        <w:t xml:space="preserve"> </w:t>
      </w:r>
      <m:oMath>
        <m:d>
          <m:dPr>
            <m:begChr m:val="("/>
            <m:endChr m:val=")"/>
            <m:sepChr m:val=""/>
            <m:grow/>
          </m:dPr>
          <m:e>
            <m:r>
              <m:t>σ</m:t>
            </m:r>
          </m:e>
        </m:d>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115"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iCs/>
          <w:i/>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p>
    <w:bookmarkStart w:id="97" w:name="asymptotics-and-lln"/>
    <w:p>
      <w:pPr>
        <w:pStyle w:val="Heading3"/>
      </w:pPr>
      <w:r>
        <w:rPr>
          <w:rStyle w:val="SectionNumber"/>
        </w:rPr>
        <w:t xml:space="preserve">2.2.1</w:t>
      </w:r>
      <w:r>
        <w:tab/>
      </w:r>
      <w:r>
        <w:t xml:space="preserve">Asymptotics and LLN</w:t>
      </w:r>
    </w:p>
    <w:p>
      <w:pPr>
        <w:pStyle w:val="FirstParagraph"/>
      </w:pP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resources/images/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p>
    <w:p>
      <w:pPr>
        <w:pStyle w:val="CaptionedFigure"/>
      </w:pPr>
      <w:r>
        <w:drawing>
          <wp:inline>
            <wp:extent cx="5334000" cy="3000375"/>
            <wp:effectExtent b="0" l="0" r="0" t="0"/>
            <wp:docPr descr="Figure 2.3: Cumulative means of coin flips" title="" id="1" name="Picture"/>
            <a:graphic>
              <a:graphicData uri="http://schemas.openxmlformats.org/drawingml/2006/picture">
                <pic:pic>
                  <pic:nvPicPr>
                    <pic:cNvPr descr="resources/images/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18"/>
      <w:r>
        <w:t xml:space="preserve">Figure </w:t>
      </w:r>
      <w:fldSimple w:instr="SEQ Figure \* ARABIC ">
        <w:r>
          <w:t>18</w:t>
        </w:r>
      </w:fldSimple>
      <w:r>
        <w:t xml:space="preserve">:</w:t>
      </w:r>
      <w:r>
        <w:t xml:space="preserve"> </w:t>
      </w:r>
      <w:bookmarkEnd w:id="96"/>
      <w:r>
        <w:t xml:space="preserve">Figure 2.3: Cumulative means of coin flips</w:t>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iCs/>
          <w:i/>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End w:id="97"/>
    <w:bookmarkStart w:id="103" w:name="asymptotics-and-the-clt"/>
    <w:p>
      <w:pPr>
        <w:pStyle w:val="Heading3"/>
      </w:pPr>
      <w:r>
        <w:rPr>
          <w:rStyle w:val="SectionNumber"/>
        </w:rPr>
        <w:t xml:space="preserve">2.2.2</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p>
      <w:pPr>
        <w:pStyle w:val="BodyText"/>
      </w:pPr>
      <m:oMathPara>
        <m:oMathParaPr>
          <m:jc m:val="center"/>
        </m:oMathParaPr>
        <m:oMath>
          <m:f>
            <m:fPr>
              <m:type m:val="bar"/>
            </m:fPr>
            <m:num>
              <m:acc>
                <m:accPr>
                  <m:chr m:val="‾"/>
                </m:accPr>
                <m:e>
                  <m:sSub>
                    <m:e>
                      <m:r>
                        <m:t>X</m:t>
                      </m:r>
                    </m:e>
                    <m:sub>
                      <m:r>
                        <m:t>n</m:t>
                      </m:r>
                    </m:sub>
                  </m:sSub>
                </m:e>
              </m:acc>
              <m:r>
                <m:rPr>
                  <m:sty m:val="p"/>
                </m:rPr>
                <m:t>−</m:t>
              </m:r>
              <m:r>
                <m:t>μ</m:t>
              </m:r>
            </m:num>
            <m:den>
              <m:r>
                <m:t>σ</m:t>
              </m:r>
              <m:r>
                <m:rPr>
                  <m:sty m:val="p"/>
                </m:rPr>
                <m:t>/</m:t>
              </m:r>
              <m:rad>
                <m:radPr>
                  <m:degHide m:val="1"/>
                </m:radPr>
                <m:deg/>
                <m:e>
                  <m:r>
                    <m:t>n</m:t>
                  </m:r>
                </m:e>
              </m:rad>
            </m:den>
          </m:f>
          <m:r>
            <m:rPr>
              <m:sty m:val="p"/>
            </m:rPr>
            <m:t>=</m:t>
          </m:r>
          <m:f>
            <m:fPr>
              <m:type m:val="bar"/>
            </m:fPr>
            <m:num>
              <m:rad>
                <m:radPr>
                  <m:degHide m:val="1"/>
                </m:radPr>
                <m:deg/>
                <m:e>
                  <m:r>
                    <m:t>n</m:t>
                  </m:r>
                </m:e>
              </m:rad>
              <m:d>
                <m:dPr>
                  <m:begChr m:val="("/>
                  <m:endChr m:val=")"/>
                  <m:sepChr m:val=""/>
                  <m:grow/>
                </m:dPr>
                <m:e>
                  <m:acc>
                    <m:accPr>
                      <m:chr m:val="‾"/>
                    </m:accPr>
                    <m:e>
                      <m:sSub>
                        <m:e>
                          <m:r>
                            <m:t>X</m:t>
                          </m:r>
                        </m:e>
                        <m:sub>
                          <m:r>
                            <m:t>n</m:t>
                          </m:r>
                        </m:sub>
                      </m:sSub>
                    </m:e>
                  </m:acc>
                  <m:r>
                    <m:rPr>
                      <m:sty m:val="p"/>
                    </m:rPr>
                    <m:t>−</m:t>
                  </m:r>
                  <m:r>
                    <m:t>μ</m:t>
                  </m:r>
                </m:e>
              </m:d>
            </m:num>
            <m:den>
              <m:r>
                <m:t>σ</m:t>
              </m:r>
            </m:den>
          </m:f>
        </m:oMath>
      </m:oMathPara>
    </w:p>
    <w:p>
      <w:pPr>
        <w:pStyle w:val="FirstParagraph"/>
      </w:pPr>
      <w:r>
        <w:t xml:space="preserve">Importantly, replacing the unknown population standard deviation with the known sample standard deviation does not affect the Central Limit Theorem.</w:t>
      </w:r>
    </w:p>
    <w:p>
      <w:pPr>
        <w:pStyle w:val="BodyText"/>
      </w:pPr>
      <w:r>
        <w:t xml:space="preserve">The most useful interpretation of the Central Limit Theorem is that the sample average is approximately normally distributed, with a mean equal to the population mean and a variance given by the standard error of the mean.</w:t>
      </w:r>
    </w:p>
    <w:p>
      <w:pPr>
        <w:pStyle w:val="BodyText"/>
      </w:pPr>
      <w:r>
        <w:t xml:space="preserve">Example: Using standard die with the mean of 3.5, and variance of 2.92. We simulate the die roll n times, calculate the sample mean, subtract the population mean, and dividing by the standard error.</w:t>
      </w:r>
    </w:p>
    <w:p>
      <w:pPr>
        <w:pStyle w:val="CaptionedFigure"/>
      </w:pPr>
      <w:r>
        <w:drawing>
          <wp:inline>
            <wp:extent cx="5334000" cy="3000375"/>
            <wp:effectExtent b="0" l="0" r="0" t="0"/>
            <wp:docPr descr="Figure 2.4: Distribution of averages of iid random variables in die roll" title="" id="1" name="Picture"/>
            <a:graphic>
              <a:graphicData uri="http://schemas.openxmlformats.org/drawingml/2006/picture">
                <pic:pic>
                  <pic:nvPicPr>
                    <pic:cNvPr descr="resources/images/week_02_files/figure-docx//1U1PiqeXG4XoKmg8hRFJqE1OFDOJfificBz1jLeDunHo_g257d7b8e795_0_101.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9" w:name="fig19"/>
      <w:r>
        <w:t xml:space="preserve">Figure </w:t>
      </w:r>
      <w:fldSimple w:instr="SEQ Figure \* ARABIC ">
        <w:r>
          <w:t>19</w:t>
        </w:r>
      </w:fldSimple>
      <w:r>
        <w:t xml:space="preserve">:</w:t>
      </w:r>
      <w:r>
        <w:t xml:space="preserve"> </w:t>
      </w:r>
      <w:bookmarkEnd w:id="99"/>
      <w:r>
        <w:t xml:space="preserve">Figure 2.4: Distribution of averages of iid random variables in die roll</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3.5</w:t>
      </w:r>
      <w:r>
        <w:rPr>
          <w:rStyle w:val="NormalTok"/>
        </w:rPr>
        <w:t xml:space="preserve">) </w:t>
      </w:r>
      <w:r>
        <w:rPr>
          <w:rStyle w:val="SpecialCharTok"/>
        </w:rPr>
        <w:t xml:space="preserve">/</w:t>
      </w:r>
      <w:r>
        <w:rPr>
          <w:rStyle w:val="NormalTok"/>
        </w:rPr>
        <w:t xml:space="preserve"> </w:t>
      </w:r>
      <w:r>
        <w:rPr>
          <w:rStyle w:val="FloatTok"/>
        </w:rPr>
        <w:t xml:space="preserve">1.71</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The distribution approximates a bell curve. As we increase the number of rolls, the approximation improves.</w:t>
      </w:r>
    </w:p>
    <w:p>
      <w:pPr>
        <w:pStyle w:val="BodyText"/>
      </w:pPr>
      <w:r>
        <w:t xml:space="preserve">Example: Let</w:t>
      </w:r>
      <w:r>
        <w:t xml:space="preserve"> </w:t>
      </w:r>
      <m:oMath>
        <m:sSub>
          <m:e>
            <m:r>
              <m:t>X</m:t>
            </m:r>
          </m:e>
          <m:sub>
            <m:r>
              <m:t>i</m:t>
            </m:r>
          </m:sub>
        </m:sSub>
      </m:oMath>
      <w:r>
        <w:t xml:space="preserve"> </w:t>
      </w:r>
      <w:r>
        <w:t xml:space="preserve">be the</w:t>
      </w:r>
      <w:r>
        <w:t xml:space="preserve"> </w:t>
      </w:r>
      <m:oMath>
        <m:r>
          <m:t>0</m:t>
        </m:r>
      </m:oMath>
      <w:r>
        <w:t xml:space="preserve"> </w:t>
      </w:r>
      <w:r>
        <w:t xml:space="preserve">or</w:t>
      </w:r>
      <w:r>
        <w:t xml:space="preserve"> </w:t>
      </w:r>
      <m:oMath>
        <m:r>
          <m:t>1</m:t>
        </m:r>
      </m:oMath>
      <w:r>
        <w:t xml:space="preserve"> </w:t>
      </w:r>
      <w:r>
        <w:t xml:space="preserve">result of the</w:t>
      </w:r>
      <w:r>
        <w:t xml:space="preserve"> </w:t>
      </w:r>
      <m:oMath>
        <m:sSup>
          <m:e>
            <m:r>
              <m:t>i</m:t>
            </m:r>
          </m:e>
          <m:sup>
            <m:r>
              <m:t>t</m:t>
            </m:r>
            <m:r>
              <m:t>h</m:t>
            </m:r>
          </m:sup>
        </m:sSup>
      </m:oMath>
      <w:r>
        <w:t xml:space="preserve"> </w:t>
      </w:r>
      <w:r>
        <w:t xml:space="preserve">flip of a possibly unfair coin. The sample proportion, say</w:t>
      </w:r>
      <w:r>
        <w:t xml:space="preserve"> </w:t>
      </w:r>
      <m:oMath>
        <m:acc>
          <m:accPr>
            <m:chr m:val="̂"/>
          </m:accPr>
          <m:e>
            <m:r>
              <m:t>p</m:t>
            </m:r>
          </m:e>
        </m:acc>
      </m:oMath>
      <w:r>
        <w:t xml:space="preserve">, is the average of the coin flips.</w:t>
      </w:r>
      <w:r>
        <w:t xml:space="preserve"> </w:t>
      </w:r>
      <m:oMath>
        <m:r>
          <m:t>E</m:t>
        </m:r>
        <m:d>
          <m:dPr>
            <m:begChr m:val="["/>
            <m:endChr m:val="]"/>
            <m:sepChr m:val=""/>
            <m:grow/>
          </m:dPr>
          <m:e>
            <m:sSub>
              <m:e>
                <m:r>
                  <m:t>X</m:t>
                </m:r>
              </m:e>
              <m:sub>
                <m:r>
                  <m:t>i</m:t>
                </m:r>
              </m:sub>
            </m:sSub>
          </m:e>
        </m:d>
        <m:r>
          <m:rPr>
            <m:sty m:val="p"/>
          </m:rPr>
          <m:t>=</m:t>
        </m:r>
        <m:r>
          <m:t>p</m:t>
        </m:r>
      </m:oMath>
      <w:r>
        <w:t xml:space="preserve"> </w:t>
      </w:r>
      <w:r>
        <w:t xml:space="preserve">and</w:t>
      </w:r>
      <w:r>
        <w:t xml:space="preserve"> </w:t>
      </w:r>
      <m:oMath>
        <m:r>
          <m:t>V</m:t>
        </m:r>
        <m:r>
          <m:t>a</m:t>
        </m:r>
        <m:r>
          <m:t>r</m:t>
        </m:r>
        <m:d>
          <m:dPr>
            <m:begChr m:val="("/>
            <m:endChr m:val=")"/>
            <m:sepChr m:val=""/>
            <m:grow/>
          </m:dPr>
          <m:e>
            <m:sSub>
              <m:e>
                <m:r>
                  <m:t>X</m:t>
                </m:r>
              </m:e>
              <m:sub>
                <m:r>
                  <m:t>i</m:t>
                </m:r>
              </m:sub>
            </m:sSub>
          </m:e>
        </m:d>
        <m:r>
          <m:rPr>
            <m:sty m:val="p"/>
          </m:rPr>
          <m:t>=</m:t>
        </m:r>
        <m:r>
          <m:t>p</m:t>
        </m:r>
        <m:d>
          <m:dPr>
            <m:begChr m:val="("/>
            <m:endChr m:val=")"/>
            <m:sepChr m:val=""/>
            <m:grow/>
          </m:dPr>
          <m:e>
            <m:r>
              <m:t>1</m:t>
            </m:r>
            <m:r>
              <m:rPr>
                <m:sty m:val="p"/>
              </m:rPr>
              <m:t>−</m:t>
            </m:r>
            <m:r>
              <m:t>p</m:t>
            </m:r>
          </m:e>
        </m:d>
      </m:oMath>
      <w:r>
        <w:t xml:space="preserve"> </w:t>
      </w:r>
      <w:r>
        <w:t xml:space="preserve">Standard error of the mean is</w:t>
      </w:r>
      <w:r>
        <w:t xml:space="preserve"> </w:t>
      </w:r>
      <m:oMath>
        <m:rad>
          <m:radPr>
            <m:degHide m:val="1"/>
          </m:radPr>
          <m:deg/>
          <m:e>
            <m:r>
              <m:t>p</m:t>
            </m:r>
            <m:d>
              <m:dPr>
                <m:begChr m:val="("/>
                <m:endChr m:val=")"/>
                <m:sepChr m:val=""/>
                <m:grow/>
              </m:dPr>
              <m:e>
                <m:r>
                  <m:t>1</m:t>
                </m:r>
                <m:r>
                  <m:rPr>
                    <m:sty m:val="p"/>
                  </m:rPr>
                  <m:t>−</m:t>
                </m:r>
                <m:r>
                  <m:t>p</m:t>
                </m:r>
              </m:e>
            </m:d>
            <m:r>
              <m:rPr>
                <m:sty m:val="p"/>
              </m:rPr>
              <m:t>/</m:t>
            </m:r>
            <m:r>
              <m:t>n</m:t>
            </m:r>
          </m:e>
        </m:rad>
      </m:oMath>
      <w:r>
        <w:t xml:space="preserve"> </w:t>
      </w:r>
      <w:r>
        <w:t xml:space="preserve">Then</w:t>
      </w:r>
    </w:p>
    <w:p>
      <w:pPr>
        <w:pStyle w:val="BodyText"/>
      </w:pPr>
      <m:oMathPara>
        <m:oMathParaPr>
          <m:jc m:val="center"/>
        </m:oMathParaPr>
        <m:oMath>
          <m:f>
            <m:fPr>
              <m:type m:val="bar"/>
            </m:fPr>
            <m:num>
              <m:acc>
                <m:accPr>
                  <m:chr m:val="̂"/>
                </m:accPr>
                <m:e>
                  <m:r>
                    <m:t>p</m:t>
                  </m:r>
                </m:e>
              </m:acc>
              <m:r>
                <m:rPr>
                  <m:sty m:val="p"/>
                </m:rPr>
                <m:t>−</m:t>
              </m:r>
              <m:r>
                <m:t>p</m:t>
              </m:r>
            </m:num>
            <m:den>
              <m:rad>
                <m:radPr>
                  <m:degHide m:val="1"/>
                </m:radPr>
                <m:deg/>
                <m:e>
                  <m:r>
                    <m:t>p</m:t>
                  </m:r>
                  <m:d>
                    <m:dPr>
                      <m:begChr m:val="("/>
                      <m:endChr m:val=")"/>
                      <m:sepChr m:val=""/>
                      <m:grow/>
                    </m:dPr>
                    <m:e>
                      <m:r>
                        <m:t>1</m:t>
                      </m:r>
                      <m:r>
                        <m:rPr>
                          <m:sty m:val="p"/>
                        </m:rPr>
                        <m:t>−</m:t>
                      </m:r>
                      <m:r>
                        <m:t>p</m:t>
                      </m:r>
                    </m:e>
                  </m:d>
                  <m:r>
                    <m:rPr>
                      <m:sty m:val="p"/>
                    </m:rPr>
                    <m:t>/</m:t>
                  </m:r>
                  <m:r>
                    <m:t>n</m:t>
                  </m:r>
                </m:e>
              </m:rad>
            </m:den>
          </m:f>
        </m:oMath>
      </m:oMathPara>
    </w:p>
    <w:p>
      <w:pPr>
        <w:pStyle w:val="FirstParagraph"/>
      </w:pPr>
      <w:r>
        <w:t xml:space="preserve">will be approximately normally distributed</w:t>
      </w:r>
    </w:p>
    <w:p>
      <w:pPr>
        <w:pStyle w:val="BodyText"/>
      </w:pPr>
      <w:r>
        <w:t xml:space="preserve">Flipping a fair coin</w:t>
      </w:r>
      <w:r>
        <w:t xml:space="preserve"> </w:t>
      </w:r>
      <m:oMath>
        <m:r>
          <m:t>n</m:t>
        </m:r>
      </m:oMath>
      <w:r>
        <w:t xml:space="preserve"> </w:t>
      </w:r>
      <w:r>
        <w:t xml:space="preserve">times, taking the sample proportion of heads, subtracting off 0.5 and multiply the result by</w:t>
      </w:r>
      <w:r>
        <w:t xml:space="preserve"> </w:t>
      </w:r>
      <m:oMath>
        <m:r>
          <m:t>2</m:t>
        </m:r>
        <m:rad>
          <m:radPr>
            <m:degHide m:val="1"/>
          </m:radPr>
          <m:deg/>
          <m:e>
            <m:r>
              <m:t>n</m:t>
            </m:r>
          </m:e>
        </m:rad>
      </m:oMath>
      <w:r>
        <w:t xml:space="preserve"> </w:t>
      </w:r>
      <w:r>
        <w:t xml:space="preserve">divide by</w:t>
      </w:r>
      <w:r>
        <w:t xml:space="preserve"> </w:t>
      </w:r>
      <m:oMath>
        <m:r>
          <m:t>1</m:t>
        </m:r>
        <m:r>
          <m:rPr>
            <m:sty m:val="p"/>
          </m:rPr>
          <m:t>/</m:t>
        </m:r>
        <m:d>
          <m:dPr>
            <m:begChr m:val="("/>
            <m:endChr m:val=")"/>
            <m:sepChr m:val=""/>
            <m:grow/>
          </m:dPr>
          <m:e>
            <m:r>
              <m:t>2</m:t>
            </m:r>
            <m:rad>
              <m:radPr>
                <m:degHide m:val="1"/>
              </m:radPr>
              <m:deg/>
              <m:e>
                <m:r>
                  <m:t>n</m:t>
                </m:r>
              </m:e>
            </m:rad>
          </m:e>
        </m:d>
      </m:oMath>
      <w:r>
        <w:t xml:space="preserve"> </w:t>
      </w:r>
      <w:r>
        <w:t xml:space="preserve">is displayed below.</w:t>
      </w:r>
    </w:p>
    <w:p>
      <w:pPr>
        <w:pStyle w:val="CaptionedFigure"/>
      </w:pPr>
      <w:r>
        <w:drawing>
          <wp:inline>
            <wp:extent cx="5334000" cy="3000375"/>
            <wp:effectExtent b="0" l="0" r="0" t="0"/>
            <wp:docPr descr="Figure 2.5: Distribution of averages of iid random variables in coin flip" title="" id="1" name="Picture"/>
            <a:graphic>
              <a:graphicData uri="http://schemas.openxmlformats.org/drawingml/2006/picture">
                <pic:pic>
                  <pic:nvPicPr>
                    <pic:cNvPr descr="resources/images/week_02_files/figure-docx//1U1PiqeXG4XoKmg8hRFJqE1OFDOJfificBz1jLeDunHo_g257d7b8e795_0_104.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1" w:name="fig20"/>
      <w:r>
        <w:t xml:space="preserve">Figure </w:t>
      </w:r>
      <w:fldSimple w:instr="SEQ Figure \* ARABIC ">
        <w:r>
          <w:t>20</w:t>
        </w:r>
      </w:fldSimple>
      <w:r>
        <w:t xml:space="preserve">:</w:t>
      </w:r>
      <w:r>
        <w:t xml:space="preserve"> </w:t>
      </w:r>
      <w:bookmarkEnd w:id="101"/>
      <w:r>
        <w:t xml:space="preserve">Figure 2.5: Distribution of averages of iid random variables in coin flip</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Taking the result of each flip (0 or 1) as an iid random variable, we calculate the sample proportion of heads</w:t>
      </w:r>
      <w:r>
        <w:t xml:space="preserve"> </w:t>
      </w:r>
      <m:oMath>
        <m:acc>
          <m:accPr>
            <m:chr m:val="̂"/>
          </m:accPr>
          <m:e>
            <m:r>
              <m:t>p</m:t>
            </m:r>
          </m:e>
        </m:acc>
      </m:oMath>
      <w:r>
        <w:t xml:space="preserve">. We again obtain a distribution that approximates a bell curve. Similar to the previous example, the approximation improves as the number of coin flips increases.</w:t>
      </w:r>
    </w:p>
    <w:p>
      <w:pPr>
        <w:pStyle w:val="BodyText"/>
      </w:pPr>
      <w:r>
        <w:t xml:space="preserve">It’s important to note that the speed at which the normalized coin flips converge to normality depends on the bias of the coin. If the coin is heavily biased, the approximation may not be perfect even with a large sample size. However, as the number of coin flips approaches infinity, the Central Limit Theorem guarantees an excellent approximation.</w:t>
      </w:r>
    </w:p>
    <w:p>
      <w:pPr>
        <w:pStyle w:val="BodyText"/>
      </w:pPr>
      <w:r>
        <w:t xml:space="preserve">As a fun example, let’s discuss Galton’s quincunx. This machine, often found in science museums, visually demonstrates the Central Limit Theorem using a game resembling Pachinko.</w:t>
      </w:r>
      <w:r>
        <w:t xml:space="preserve"> </w:t>
      </w:r>
      <w:hyperlink r:id="rId102">
        <w:r>
          <w:rPr>
            <w:rStyle w:val="Hyperlink"/>
          </w:rPr>
          <w:t xml:space="preserve">An image from Wikipedia showing Galton’s quincunx</w:t>
        </w:r>
      </w:hyperlink>
      <w:r>
        <w:t xml:space="preserve">. In Galton’s quincunx, a ball falls through a series of pegs, bouncing left or right at each peg. Each bounce can be thought of as a coin flip or binomial experiment. The total number of successes (heads) follows an approximately normal distribution, as predicted by the Central Limit Theorem. At the museum, the balls collect in bins, forming a histogram that aligns with the expected normal distribution.</w:t>
      </w:r>
    </w:p>
    <w:p>
      <w:pPr>
        <w:pStyle w:val="BodyText"/>
      </w:pPr>
      <w:r>
        <w:t xml:space="preserve">In summary, the Central Limit Theorem is a powerful tool that allows us to approximate the distribution of averages of iid random variables. It applies to various settings and provides valuable insights into statistical inference. The examples we explored, from dice rolls to coin flips to Galton’s quincunx, illustrate the practical applications of the Central Limit Theorem and the convergence to a standard normal distribution as the sample size increases.</w:t>
      </w:r>
    </w:p>
    <w:bookmarkEnd w:id="103"/>
    <w:bookmarkStart w:id="114" w:name="asymptotics-and-confidence-intervals"/>
    <w:p>
      <w:pPr>
        <w:pStyle w:val="Heading3"/>
      </w:pPr>
      <w:r>
        <w:rPr>
          <w:rStyle w:val="SectionNumber"/>
        </w:rPr>
        <w:t xml:space="preserve">2.2.3</w:t>
      </w:r>
      <w:r>
        <w:tab/>
      </w:r>
      <w:r>
        <w:t xml:space="preserve">Asymptotics and confidence intervals</w:t>
      </w:r>
    </w:p>
    <w:p>
      <w:pPr>
        <w:pStyle w:val="FirstParagraph"/>
      </w:pPr>
      <w:r>
        <w:t xml:space="preserve">The central limit theorem tells us that the sample mean follows an approximately normal distribution with a population mean of μ and a standard deviation of</w:t>
      </w:r>
      <w:r>
        <w:t xml:space="preserve"> </w:t>
      </w:r>
      <m:oMath>
        <m:r>
          <m:t>σ</m:t>
        </m:r>
        <m:r>
          <m:rPr>
            <m:sty m:val="p"/>
          </m:rPr>
          <m:t>/</m:t>
        </m:r>
        <m:rad>
          <m:radPr>
            <m:degHide m:val="1"/>
          </m:radPr>
          <m:deg/>
          <m:e>
            <m:r>
              <m:t>n</m:t>
            </m:r>
          </m:e>
        </m:rad>
      </m:oMath>
      <w:r>
        <w:t xml:space="preserve">. This distribution allows us to make inferences about the population mean based on sample data. When considering the distribution, we observe that</w:t>
      </w:r>
      <w:r>
        <w:t xml:space="preserve"> </w:t>
      </w:r>
      <m:oMath>
        <m:r>
          <m:t>μ</m:t>
        </m:r>
        <m:r>
          <m:rPr>
            <m:sty m:val="p"/>
          </m:rPr>
          <m:t>+</m:t>
        </m:r>
        <m:r>
          <m:t>2</m:t>
        </m:r>
      </m:oMath>
      <w:r>
        <w:t xml:space="preserve"> </w:t>
      </w:r>
      <w:r>
        <w:t xml:space="preserve">standard errors is quite far out in the tail, with only a 2.5% chance of a normal value being larger than two standard deviations in the tail.</w:t>
      </w:r>
      <w:r>
        <w:t xml:space="preserve"> </w:t>
      </w:r>
      <w:r>
        <w:t xml:space="preserve">Similarly,</w:t>
      </w:r>
      <w:r>
        <w:t xml:space="preserve"> </w:t>
      </w:r>
      <m:oMath>
        <m:r>
          <m:t>μ</m:t>
        </m:r>
        <m:r>
          <m:rPr>
            <m:sty m:val="p"/>
          </m:rPr>
          <m:t>−</m:t>
        </m:r>
        <m:r>
          <m:t>2</m:t>
        </m:r>
      </m:oMath>
      <w:r>
        <w:t xml:space="preserve"> </w:t>
      </w:r>
      <w:r>
        <w:t xml:space="preserve">standard errors is far in the left tail, with only a 2.5% chance of a normal value being smaller than two standard deviations in the left tail. Therefore, the probability that the sample mean</w:t>
      </w:r>
      <w:r>
        <w:t xml:space="preserve"> </w:t>
      </w:r>
      <m:oMath>
        <m:acc>
          <m:accPr>
            <m:chr m:val="‾"/>
          </m:accPr>
          <m:e>
            <m:r>
              <m:t>X</m:t>
            </m:r>
          </m:e>
        </m:acc>
      </m:oMath>
      <w:r>
        <w:t xml:space="preserve"> </w:t>
      </w:r>
      <w:r>
        <w:t xml:space="preserve">is greater than</w:t>
      </w:r>
      <w:r>
        <w:t xml:space="preserve"> </w:t>
      </w:r>
      <m:oMath>
        <m:r>
          <m:t>μ</m:t>
        </m:r>
        <m:r>
          <m:rPr>
            <m:sty m:val="p"/>
          </m:rPr>
          <m:t>+</m:t>
        </m:r>
        <m:r>
          <m:t>2</m:t>
        </m:r>
      </m:oMath>
      <w:r>
        <w:t xml:space="preserve"> </w:t>
      </w:r>
      <w:r>
        <w:t xml:space="preserve">standard errors or smaller than</w:t>
      </w:r>
      <w:r>
        <w:t xml:space="preserve"> </w:t>
      </w:r>
      <m:oMath>
        <m:r>
          <m:t>μ</m:t>
        </m:r>
        <m:r>
          <m:rPr>
            <m:sty m:val="p"/>
          </m:rPr>
          <m:t>−</m:t>
        </m:r>
        <m:r>
          <m:t>2</m:t>
        </m:r>
      </m:oMath>
      <w:r>
        <w:t xml:space="preserve"> </w:t>
      </w:r>
      <w:r>
        <w:t xml:space="preserve">standard errors is 5%. Equivalently, the probability that μ is between these limits is 95%. By reversing the roles of</w:t>
      </w:r>
      <w:r>
        <w:t xml:space="preserve"> </w:t>
      </w:r>
      <m:oMath>
        <m:acc>
          <m:accPr>
            <m:chr m:val="‾"/>
          </m:accPr>
          <m:e>
            <m:r>
              <m:t>X</m:t>
            </m:r>
          </m:e>
        </m:acc>
      </m:oMath>
      <w:r>
        <w:t xml:space="preserve"> </w:t>
      </w:r>
      <w:r>
        <w:t xml:space="preserve">and μ, we can conclude that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contains μ with a probability of 95%.</w:t>
      </w:r>
    </w:p>
    <w:p>
      <w:pPr>
        <w:pStyle w:val="BodyText"/>
      </w:pPr>
      <w:r>
        <w:t xml:space="preserve">It’s important to note that in this interpretation, we treat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as random, while μ is fixed. This allows us to discuss the probability that the interval contains μ. In practice, if we repeatedly obtain samples of size n from the population and construct a confidence interval in each case, about 95% of the intervals will contain μ, the parameter we are trying to estimate. If we want a 90% confidence interval, we need 5% in each tail, so we would use a different multiplier instead of 2 (e.g., 1.645).</w:t>
      </w:r>
    </w:p>
    <w:p>
      <w:pPr>
        <w:pStyle w:val="BodyText"/>
      </w:pPr>
      <w:r>
        <w:t xml:space="preserve">Example: Using the father-son data from the</w:t>
      </w:r>
      <w:r>
        <w:t xml:space="preserve"> </w:t>
      </w:r>
      <w:r>
        <w:t xml:space="preserve">“</w:t>
      </w:r>
      <w:r>
        <w:t xml:space="preserve">Using R</w:t>
      </w:r>
      <w:r>
        <w:t xml:space="preserve">”</w:t>
      </w:r>
      <w:r>
        <w:t xml:space="preserve"> </w:t>
      </w:r>
      <w:r>
        <w:t xml:space="preserve">package we want to estimate the average height of sons</w:t>
      </w:r>
      <w:r>
        <w:t xml:space="preserve"> </w:t>
      </w:r>
      <m:oMath>
        <m:acc>
          <m:accPr>
            <m:chr m:val="‾"/>
          </m:accPr>
          <m:e>
            <m:r>
              <m:t>X</m:t>
            </m:r>
          </m:e>
        </m:acc>
      </m:oMath>
      <w:r>
        <w:t xml:space="preserve">. We can calculate the mean of the sample plus or minus the 0.975th normal quantile times the standard error of the mean.</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w:t>
      </w:r>
      <w:r>
        <w:rPr>
          <w:rStyle w:val="FunctionTok"/>
        </w:rPr>
        <w:t xml:space="preserve">length</w:t>
      </w:r>
      <w:r>
        <w:rPr>
          <w:rStyle w:val="NormalTok"/>
        </w:rPr>
        <w:t xml:space="preserve">(x))) </w:t>
      </w:r>
      <w:r>
        <w:rPr>
          <w:rStyle w:val="SpecialCharTok"/>
        </w:rPr>
        <w:t xml:space="preserve">/</w:t>
      </w:r>
      <w:r>
        <w:rPr>
          <w:rStyle w:val="NormalTok"/>
        </w:rPr>
        <w:t xml:space="preserve"> </w:t>
      </w:r>
      <w:r>
        <w:rPr>
          <w:rStyle w:val="DecValTok"/>
        </w:rPr>
        <w:t xml:space="preserve">12</w:t>
      </w:r>
    </w:p>
    <w:p>
      <w:pPr>
        <w:pStyle w:val="FirstParagraph"/>
      </w:pPr>
      <w:r>
        <w:t xml:space="preserve">Dividing by 12 ensures that our confidence interval is in feet rather than inches. If we obtain a confidence interval of 5.710 to 5.738, we can say that if the sons’ height in this data are a random sample from the population of interest, the confidence interval for the average height of the sons would be 5.71 to 5.74.</w:t>
      </w:r>
    </w:p>
    <w:p>
      <w:pPr>
        <w:pStyle w:val="BodyText"/>
      </w:pPr>
      <w:r>
        <w:t xml:space="preserve">Another application is when dealing with coin flips and estimating the success probability</w:t>
      </w:r>
      <w:r>
        <w:t xml:space="preserve"> </w:t>
      </w:r>
      <m:oMath>
        <m:r>
          <m:t>p</m:t>
        </m:r>
      </m:oMath>
      <w:r>
        <w:t xml:space="preserve"> </w:t>
      </w:r>
      <w:r>
        <w:t xml:space="preserve">of the coin. Each observation</w:t>
      </w:r>
      <w:r>
        <w:t xml:space="preserve"> </w:t>
      </w:r>
      <m:oMath>
        <m:sSub>
          <m:e>
            <m:r>
              <m:t>X</m:t>
            </m:r>
          </m:e>
          <m:sub>
            <m:r>
              <m:t>i</m:t>
            </m:r>
          </m:sub>
        </m:sSub>
      </m:oMath>
      <w:r>
        <w:t xml:space="preserve"> </w:t>
      </w:r>
      <w:r>
        <w:t xml:space="preserve">in this case is either 0 or 1, with a common success probability</w:t>
      </w:r>
      <w:r>
        <w:t xml:space="preserve"> </w:t>
      </w:r>
      <m:oMath>
        <m:r>
          <m:t>p</m:t>
        </m:r>
      </m:oMath>
      <w:r>
        <w:t xml:space="preserve">. The variance of a coin flip is</w:t>
      </w:r>
      <w:r>
        <w:t xml:space="preserve"> </w:t>
      </w:r>
      <m:oMath>
        <m:r>
          <m:t>p</m:t>
        </m:r>
        <m:r>
          <m:rPr>
            <m:sty m:val="p"/>
          </m:rPr>
          <m:t>*</m:t>
        </m:r>
        <m:d>
          <m:dPr>
            <m:begChr m:val="("/>
            <m:endChr m:val=")"/>
            <m:sepChr m:val=""/>
            <m:grow/>
          </m:dPr>
          <m:e>
            <m:r>
              <m:t>1</m:t>
            </m:r>
            <m:r>
              <m:rPr>
                <m:sty m:val="p"/>
              </m:rPr>
              <m:t>−</m:t>
            </m:r>
            <m:r>
              <m:t>p</m:t>
            </m:r>
          </m:e>
        </m:d>
      </m:oMath>
      <w:r>
        <w:t xml:space="preserve">, where p is the true success probability of the coin. The standard error of the mean is then:</w:t>
      </w:r>
    </w:p>
    <w:p>
      <w:pPr>
        <w:pStyle w:val="BodyText"/>
      </w:pPr>
      <m:oMathPara>
        <m:oMathParaPr>
          <m:jc m:val="center"/>
        </m:oMathParaPr>
        <m:oMath>
          <m:acc>
            <m:accPr>
              <m:chr m:val="̂"/>
            </m:accPr>
            <m:e>
              <m:r>
                <m:t>p</m:t>
              </m:r>
            </m:e>
          </m:acc>
          <m:r>
            <m:rPr>
              <m:sty m:val="p"/>
            </m:rPr>
            <m:t>±</m:t>
          </m:r>
          <m:sSub>
            <m:e>
              <m:r>
                <m:t>z</m:t>
              </m:r>
            </m:e>
            <m:sub>
              <m:r>
                <m:t>1</m:t>
              </m:r>
              <m:r>
                <m:rPr>
                  <m:sty m:val="p"/>
                </m:rPr>
                <m:t>−</m:t>
              </m:r>
              <m:r>
                <m:t>α</m:t>
              </m:r>
              <m:r>
                <m:rPr>
                  <m:sty m:val="p"/>
                </m:rPr>
                <m:t>/</m:t>
              </m:r>
              <m:r>
                <m:t>2</m:t>
              </m:r>
            </m:sub>
          </m:sSub>
          <m:rad>
            <m:radPr>
              <m:degHide m:val="1"/>
            </m:radPr>
            <m:deg/>
            <m:e>
              <m:f>
                <m:fPr>
                  <m:type m:val="bar"/>
                </m:fPr>
                <m:num>
                  <m:r>
                    <m:t>p</m:t>
                  </m:r>
                  <m:d>
                    <m:dPr>
                      <m:begChr m:val="("/>
                      <m:endChr m:val=")"/>
                      <m:sepChr m:val=""/>
                      <m:grow/>
                    </m:dPr>
                    <m:e>
                      <m:r>
                        <m:t>1</m:t>
                      </m:r>
                      <m:r>
                        <m:rPr>
                          <m:sty m:val="p"/>
                        </m:rPr>
                        <m:t>−</m:t>
                      </m:r>
                      <m:r>
                        <m:t>p</m:t>
                      </m:r>
                    </m:e>
                  </m:d>
                </m:num>
                <m:den>
                  <m:r>
                    <m:t>n</m:t>
                  </m:r>
                </m:den>
              </m:f>
            </m:e>
          </m:rad>
        </m:oMath>
      </m:oMathPara>
    </w:p>
    <w:p>
      <w:pPr>
        <w:pStyle w:val="FirstParagraph"/>
      </w:pPr>
      <w:r>
        <w:t xml:space="preserve">Since we don’t know the true value of</w:t>
      </w:r>
      <w:r>
        <w:t xml:space="preserve"> </w:t>
      </w:r>
      <m:oMath>
        <m:r>
          <m:t>p</m:t>
        </m:r>
      </m:oMath>
      <w:r>
        <w:t xml:space="preserve">, we replace it with the estimated value</w:t>
      </w:r>
      <w:r>
        <w:t xml:space="preserve"> </w:t>
      </w:r>
      <m:oMath>
        <m:acc>
          <m:accPr>
            <m:chr m:val="̂"/>
          </m:accPr>
          <m:e>
            <m:r>
              <m:t>p</m:t>
            </m:r>
          </m:e>
        </m:acc>
      </m:oMath>
      <w:r>
        <w:t xml:space="preserve">. This type of confidence interval is known as the</w:t>
      </w:r>
      <w:r>
        <w:t xml:space="preserve"> </w:t>
      </w:r>
      <w:r>
        <w:rPr>
          <w:iCs/>
          <w:i/>
        </w:rPr>
        <w:t xml:space="preserve">Wald confidence interval</w:t>
      </w:r>
      <w:r>
        <w:t xml:space="preserve">, named after the statistician Wald. When p equals 0.5, the variance</w:t>
      </w:r>
      <w:r>
        <w:t xml:space="preserve"> </w:t>
      </w:r>
      <m:oMath>
        <m:r>
          <m:t>p</m:t>
        </m:r>
        <m:d>
          <m:dPr>
            <m:begChr m:val="("/>
            <m:endChr m:val=")"/>
            <m:sepChr m:val=""/>
            <m:grow/>
          </m:dPr>
          <m:e>
            <m:r>
              <m:t>1</m:t>
            </m:r>
            <m:r>
              <m:rPr>
                <m:sty m:val="p"/>
              </m:rPr>
              <m:t>−</m:t>
            </m:r>
            <m:r>
              <m:t>p</m:t>
            </m:r>
          </m:e>
        </m:d>
      </m:oMath>
      <w:r>
        <w:t xml:space="preserve"> </w:t>
      </w:r>
      <w:r>
        <w:t xml:space="preserve">is maximized, resulting in a standard error of 0.5. Multiplying it by 2 in the 95% interval cancels out, leaving the following expression for a 95% confidence interval, which is a quick estimate for p:</w:t>
      </w:r>
    </w:p>
    <w:p>
      <w:pPr>
        <w:pStyle w:val="BodyText"/>
      </w:pPr>
      <m:oMathPara>
        <m:oMathParaPr>
          <m:jc m:val="center"/>
        </m:oMathParaPr>
        <m:oMath>
          <m:acc>
            <m:accPr>
              <m:chr m:val="̂"/>
            </m:accPr>
            <m:e>
              <m:r>
                <m:t>p</m:t>
              </m:r>
            </m:e>
          </m:acc>
          <m:r>
            <m:rPr>
              <m:sty m:val="p"/>
            </m:rPr>
            <m:t>±</m:t>
          </m:r>
          <m:r>
            <m:t>1</m:t>
          </m:r>
          <m:r>
            <m:rPr>
              <m:sty m:val="p"/>
            </m:rPr>
            <m:t>/</m:t>
          </m:r>
          <m:rad>
            <m:radPr>
              <m:degHide m:val="1"/>
            </m:radPr>
            <m:deg/>
            <m:e>
              <m:r>
                <m:t>n</m:t>
              </m:r>
            </m:e>
          </m:rad>
        </m:oMath>
      </m:oMathPara>
    </w:p>
    <w:p>
      <w:pPr>
        <w:pStyle w:val="FirstParagraph"/>
      </w:pPr>
      <w:r>
        <w:t xml:space="preserve">Example: Imaging you are running for political office, and in a random sample of 100 likely voters, 56 intend to vote for you. To determine if you can relax or if you need to campaign more, you can use a quick calculation.</w:t>
      </w:r>
    </w:p>
    <w:p>
      <w:pPr>
        <w:pStyle w:val="BodyText"/>
      </w:pPr>
      <w:r>
        <w:t xml:space="preserve">With the information from the sample you can with with probability of 0.56 taking</w:t>
      </w:r>
      <w:r>
        <w:t xml:space="preserve"> </w:t>
      </w:r>
      <m:oMath>
        <m:f>
          <m:fPr>
            <m:type m:val="bar"/>
          </m:fPr>
          <m:num>
            <m:r>
              <m:t>1</m:t>
            </m:r>
          </m:num>
          <m:den>
            <m:rad>
              <m:radPr>
                <m:degHide m:val="1"/>
              </m:radPr>
              <m:deg/>
              <m:e>
                <m:r>
                  <m:t>100</m:t>
                </m:r>
              </m:e>
            </m:rad>
          </m:den>
        </m:f>
        <m:r>
          <m:rPr>
            <m:sty m:val="p"/>
          </m:rPr>
          <m:t>=</m:t>
        </m:r>
        <m:r>
          <m:t>0.1</m:t>
        </m:r>
      </m:oMath>
      <w:r>
        <w:t xml:space="preserve"> </w:t>
      </w:r>
      <w:r>
        <w:t xml:space="preserve">means the approximate 95% interval is 0.46 to 0.66. The confidence interval suggests that we cannot rule out possibilities below 0.5 with 95% confidence. Therefore, you shouldn’t relax and should continue campaigning.</w:t>
      </w:r>
    </w:p>
    <w:p>
      <w:pPr>
        <w:pStyle w:val="BodyText"/>
      </w:pPr>
      <w:r>
        <w:t xml:space="preserve">As a general guideline, you typically need at least 100 observations for one decimal place in a binomial experiment, 10,000 for two decimal places, and a million for three decimal places. These numbers reflect the approximate sample sizes needed for accurate estimation.</w:t>
      </w:r>
    </w:p>
    <w:p>
      <w:pPr>
        <w:pStyle w:val="BodyText"/>
      </w:pPr>
      <w:r>
        <w:t xml:space="preserve">In summary, the central limit theorem provides us with a practical tool for constructing confidence intervals and making inferences about population parameters. It allows us to estimate the population mean using the sample mean and provides a measure of uncertainty through confidence intervals. The Wald confidence interval is a useful approximation for estimating the success probability in binomial experiments. Additionally, considering the sample size helps determine the level of precision and confidence in our estimates.</w:t>
      </w:r>
    </w:p>
    <w:p>
      <w:pPr>
        <w:pStyle w:val="BodyText"/>
      </w:pPr>
      <w:r>
        <w:t xml:space="preserve">Consider a simulation where we repeatedly flip a coin with a known success probability. The goal is to calculate the percentage of times that the confidence interval covers the true probability. In each simulation, we flip the coin 20 times and vary the true success probability between 0.1 and 0.9 in steps of 0.05. We conduct 1,000 simulations for each true success probability.</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20</w:t>
      </w:r>
      <w:r>
        <w:rPr>
          <w:rStyle w:val="NormalTok"/>
        </w:rPr>
        <w:t xml:space="preserve">; 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9</w:t>
      </w:r>
      <w:r>
        <w:rPr>
          <w:rStyle w:val="NormalTok"/>
        </w:rPr>
        <w:t xml:space="preserve">, </w:t>
      </w:r>
      <w:r>
        <w:rPr>
          <w:rStyle w:val="AttributeTok"/>
        </w:rPr>
        <w:t xml:space="preserve">by =</w:t>
      </w:r>
      <w:r>
        <w:rPr>
          <w:rStyle w:val="NormalTok"/>
        </w:rPr>
        <w:t xml:space="preserve"> .</w:t>
      </w:r>
      <w:r>
        <w:rPr>
          <w:rStyle w:val="DecValTok"/>
        </w:rPr>
        <w:t xml:space="preserve">05</w:t>
      </w:r>
      <w:r>
        <w:rPr>
          <w:rStyle w:val="NormalTok"/>
        </w:rPr>
        <w:t xml:space="preserve">); nosim </w:t>
      </w:r>
      <w:r>
        <w:rPr>
          <w:rStyle w:val="OtherTok"/>
        </w:rPr>
        <w:t xml:space="preserve">&lt;-</w:t>
      </w:r>
      <w:r>
        <w:rPr>
          <w:rStyle w:val="NormalTok"/>
        </w:rPr>
        <w:t xml:space="preserve"> </w:t>
      </w:r>
      <w:r>
        <w:rPr>
          <w:rStyle w:val="DecValTok"/>
        </w:rPr>
        <w:t xml:space="preserve">1000</w:t>
      </w:r>
      <w:r>
        <w:br/>
      </w:r>
      <w:r>
        <w:rPr>
          <w:rStyle w:val="NormalTok"/>
        </w:rPr>
        <w:t xml:space="preserve">coverage </w:t>
      </w:r>
      <w:r>
        <w:rPr>
          <w:rStyle w:val="OtherTok"/>
        </w:rPr>
        <w:t xml:space="preserve">&lt;-</w:t>
      </w:r>
      <w:r>
        <w:rPr>
          <w:rStyle w:val="NormalTok"/>
        </w:rPr>
        <w:t xml:space="preserve"> </w:t>
      </w:r>
      <w:r>
        <w:rPr>
          <w:rStyle w:val="FunctionTok"/>
        </w:rPr>
        <w:t xml:space="preserve">sapply</w:t>
      </w:r>
      <w:r>
        <w:rPr>
          <w:rStyle w:val="NormalTok"/>
        </w:rPr>
        <w:t xml:space="preserve">(pvals, </w:t>
      </w:r>
      <w:r>
        <w:rPr>
          <w:rStyle w:val="ControlFlowTok"/>
        </w:rPr>
        <w:t xml:space="preserve">function</w:t>
      </w:r>
      <w:r>
        <w:rPr>
          <w:rStyle w:val="NormalTok"/>
        </w:rPr>
        <w:t xml:space="preserve">(p){</w:t>
      </w:r>
      <w:r>
        <w:br/>
      </w:r>
      <w:r>
        <w:rPr>
          <w:rStyle w:val="NormalTok"/>
        </w:rPr>
        <w:t xml:space="preserve">  phats </w:t>
      </w:r>
      <w:r>
        <w:rPr>
          <w:rStyle w:val="OtherTok"/>
        </w:rPr>
        <w:t xml:space="preserve">&lt;-</w:t>
      </w:r>
      <w:r>
        <w:rPr>
          <w:rStyle w:val="NormalTok"/>
        </w:rPr>
        <w:t xml:space="preserve"> </w:t>
      </w:r>
      <w:r>
        <w:rPr>
          <w:rStyle w:val="FunctionTok"/>
        </w:rPr>
        <w:t xml:space="preserve">rbinom</w:t>
      </w:r>
      <w:r>
        <w:rPr>
          <w:rStyle w:val="NormalTok"/>
        </w:rPr>
        <w:t xml:space="preserve">(nosim, </w:t>
      </w:r>
      <w:r>
        <w:rPr>
          <w:rStyle w:val="AttributeTok"/>
        </w:rPr>
        <w:t xml:space="preserve">prob =</w:t>
      </w:r>
      <w:r>
        <w:rPr>
          <w:rStyle w:val="NormalTok"/>
        </w:rPr>
        <w:t xml:space="preserve"> p, </w:t>
      </w:r>
      <w:r>
        <w:rPr>
          <w:rStyle w:val="AttributeTok"/>
        </w:rPr>
        <w:t xml:space="preserve">size =</w:t>
      </w:r>
      <w:r>
        <w:rPr>
          <w:rStyle w:val="NormalTok"/>
        </w:rPr>
        <w:t xml:space="preserve"> n) </w:t>
      </w:r>
      <w:r>
        <w:rPr>
          <w:rStyle w:val="SpecialCharTok"/>
        </w:rPr>
        <w:t xml:space="preserve">/</w:t>
      </w:r>
      <w:r>
        <w:rPr>
          <w:rStyle w:val="NormalTok"/>
        </w:rPr>
        <w:t xml:space="preserve"> n</w:t>
      </w:r>
      <w:r>
        <w:br/>
      </w:r>
      <w:r>
        <w:rPr>
          <w:rStyle w:val="NormalTok"/>
        </w:rPr>
        <w:t xml:space="preserve">  ll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ul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w:t>
      </w:r>
      <w:r>
        <w:rPr>
          <w:rStyle w:val="FunctionTok"/>
        </w:rPr>
        <w:t xml:space="preserve">mean</w:t>
      </w:r>
      <w:r>
        <w:rPr>
          <w:rStyle w:val="NormalTok"/>
        </w:rPr>
        <w:t xml:space="preserve">(ll </w:t>
      </w:r>
      <w:r>
        <w:rPr>
          <w:rStyle w:val="SpecialCharTok"/>
        </w:rPr>
        <w:t xml:space="preserve">&lt;</w:t>
      </w:r>
      <w:r>
        <w:rPr>
          <w:rStyle w:val="NormalTok"/>
        </w:rPr>
        <w:t xml:space="preserve"> p </w:t>
      </w:r>
      <w:r>
        <w:rPr>
          <w:rStyle w:val="SpecialCharTok"/>
        </w:rPr>
        <w:t xml:space="preserve">&amp;</w:t>
      </w:r>
      <w:r>
        <w:rPr>
          <w:rStyle w:val="NormalTok"/>
        </w:rPr>
        <w:t xml:space="preserve"> ul </w:t>
      </w:r>
      <w:r>
        <w:rPr>
          <w:rStyle w:val="SpecialCharTok"/>
        </w:rPr>
        <w:t xml:space="preserve">&gt;</w:t>
      </w:r>
      <w:r>
        <w:rPr>
          <w:rStyle w:val="NormalTok"/>
        </w:rPr>
        <w:t xml:space="preserve"> p)</w:t>
      </w:r>
      <w:r>
        <w:br/>
      </w:r>
      <w:r>
        <w:rPr>
          <w:rStyle w:val="NormalTok"/>
        </w:rPr>
        <w:t xml:space="preserve">})</w:t>
      </w:r>
    </w:p>
    <w:p>
      <w:pPr>
        <w:pStyle w:val="FirstParagraph"/>
      </w:pPr>
      <w:r>
        <w:t xml:space="preserve">For each true success probability, we generate 1,000 sets of 20 coin flips and calculate the sample proportion. Then, we compute the lower and upper limits of the confidence interval for each set of coin flips. Finally, we determine the proportion of times that the confidence interval covers the true value of the success probability. we store these proportions in a variable called</w:t>
      </w:r>
      <w:r>
        <w:t xml:space="preserve"> </w:t>
      </w:r>
      <w:r>
        <w:t xml:space="preserve">“</w:t>
      </w:r>
      <w:r>
        <w:t xml:space="preserve">coverage.</w:t>
      </w:r>
      <w:r>
        <w:t xml:space="preserve">”</w:t>
      </w:r>
    </w:p>
    <w:p>
      <w:pPr>
        <w:pStyle w:val="BodyText"/>
      </w:pPr>
      <w:r>
        <w:t xml:space="preserve">To visualize the results, we can plot the coverage as a function of the true success probability used in the simulation. For example, if the true value of p is 0.5, we perform 1,000 simulations and calculate the coverage based on whether the confidence interval covers 0.5 or not. In this case, the coverage is over 95%, indicating that the confidence interval provides better than 95% coverage for a true success probability of 0.5.</w:t>
      </w:r>
    </w:p>
    <w:p>
      <w:pPr>
        <w:pStyle w:val="CaptionedFigure"/>
      </w:pPr>
      <w:r>
        <w:drawing>
          <wp:inline>
            <wp:extent cx="5334000" cy="3000375"/>
            <wp:effectExtent b="0" l="0" r="0" t="0"/>
            <wp:docPr descr="Figure 2.6: Coverage of confidence intervals for coin flips, n=20" title="" id="1" name="Picture"/>
            <a:graphic>
              <a:graphicData uri="http://schemas.openxmlformats.org/drawingml/2006/picture">
                <pic:pic>
                  <pic:nvPicPr>
                    <pic:cNvPr descr="resources/images/week_02_files/figure-docx//1U1PiqeXG4XoKmg8hRFJqE1OFDOJfificBz1jLeDunHo_g257d7b8e795_0_107.png" id="0"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5" w:name="fig21"/>
      <w:r>
        <w:t xml:space="preserve">Figure </w:t>
      </w:r>
      <w:fldSimple w:instr="SEQ Figure \* ARABIC ">
        <w:r>
          <w:t>21</w:t>
        </w:r>
      </w:fldSimple>
      <w:r>
        <w:t xml:space="preserve">:</w:t>
      </w:r>
      <w:r>
        <w:t xml:space="preserve"> </w:t>
      </w:r>
      <w:bookmarkEnd w:id="105"/>
      <w:r>
        <w:t xml:space="preserve">Figure 2.6: Coverage of confidence intervals for coin flips, n=20</w:t>
      </w:r>
    </w:p>
    <w:p>
      <w:pPr>
        <w:pStyle w:val="BodyText"/>
      </w:pPr>
      <w:r>
        <w:t xml:space="preserve">Although there is some Monte Carlo error due to the finite number of simulations, 1,000 simulations generally yield good accuracy. For a true success probability around 12%, the coverage falls well below the expected 95%. The reason behind this discrepancy is that the central limit theorem is not accurate enough for this specific value of n (the number of coin flips) and the true probability. To address this issue for smaller values of n, a quick fix is to add 2 to the number of successes and 2 to the number of failures. This adjustment modifies the sample proportion, making it</w:t>
      </w:r>
      <w:r>
        <w:t xml:space="preserve"> </w:t>
      </w:r>
      <m:oMath>
        <m:f>
          <m:fPr>
            <m:type m:val="bar"/>
          </m:fPr>
          <m:num>
            <m:r>
              <m:t>X</m:t>
            </m:r>
            <m:r>
              <m:rPr>
                <m:sty m:val="p"/>
              </m:rPr>
              <m:t>+</m:t>
            </m:r>
            <m:r>
              <m:t>2</m:t>
            </m:r>
          </m:num>
          <m:den>
            <m:r>
              <m:t>n</m:t>
            </m:r>
            <m:r>
              <m:rPr>
                <m:sty m:val="p"/>
              </m:rPr>
              <m:t>+</m:t>
            </m:r>
            <m:r>
              <m:t>4</m:t>
            </m:r>
          </m:den>
        </m:f>
      </m:oMath>
      <w:r>
        <w:t xml:space="preserve">. After applying this adjustment, the confidence interval procedure can be performed as usual. This modified interval is known as the</w:t>
      </w:r>
      <w:r>
        <w:t xml:space="preserve"> </w:t>
      </w:r>
      <w:r>
        <w:rPr>
          <w:iCs/>
          <w:i/>
        </w:rPr>
        <w:t xml:space="preserve">Agresti/Coull interval</w:t>
      </w:r>
      <w:r>
        <w:t xml:space="preserve"> </w:t>
      </w:r>
      <w:r>
        <w:t xml:space="preserve">and tends to perform better than the standard Wald interval. Before demonstrating the results for the adjusted intervals, it is important to note that larger values of n yield better performance. In a simulation where n is increased to 100, the coverage probability improves and remains close to the expected 95% across different values of p.</w:t>
      </w:r>
    </w:p>
    <w:p>
      <w:pPr>
        <w:pStyle w:val="CaptionedFigure"/>
      </w:pPr>
      <w:r>
        <w:drawing>
          <wp:inline>
            <wp:extent cx="5334000" cy="3000375"/>
            <wp:effectExtent b="0" l="0" r="0" t="0"/>
            <wp:docPr descr="Figure 2.7: Coverage of confidence intervals for coin flips, n=100" title="" id="1" name="Picture"/>
            <a:graphic>
              <a:graphicData uri="http://schemas.openxmlformats.org/drawingml/2006/picture">
                <pic:pic>
                  <pic:nvPicPr>
                    <pic:cNvPr descr="resources/images/week_02_files/figure-docx//1U1PiqeXG4XoKmg8hRFJqE1OFDOJfificBz1jLeDunHo_g257d7b8e795_0_110.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7" w:name="fig22"/>
      <w:r>
        <w:t xml:space="preserve">Figure </w:t>
      </w:r>
      <w:fldSimple w:instr="SEQ Figure \* ARABIC ">
        <w:r>
          <w:t>22</w:t>
        </w:r>
      </w:fldSimple>
      <w:r>
        <w:t xml:space="preserve">:</w:t>
      </w:r>
      <w:r>
        <w:t xml:space="preserve"> </w:t>
      </w:r>
      <w:bookmarkEnd w:id="107"/>
      <w:r>
        <w:t xml:space="preserve">Figure 2.7: Coverage of confidence intervals for coin flips, n=100</w:t>
      </w:r>
    </w:p>
    <w:p>
      <w:pPr>
        <w:pStyle w:val="BodyText"/>
      </w:pPr>
      <w:r>
        <w:t xml:space="preserve">Returning to the simulation with n=20, when using the add 2 successes and 2 failures interval, the coverage probability is higher than 95%, indicating an improvement compared to the poor coverage of the Wald interval for certain true probability values. However, it’s important to balance coverage and interval width, as being too conservative can lead to overly wide intervals. Based on these observations, we strongly recommend using the add 2 successes and 2 failures interval instead of the Wald interval in this specific scenario.</w:t>
      </w:r>
    </w:p>
    <w:p>
      <w:pPr>
        <w:pStyle w:val="CaptionedFigure"/>
      </w:pPr>
      <w:r>
        <w:drawing>
          <wp:inline>
            <wp:extent cx="5334000" cy="3000375"/>
            <wp:effectExtent b="0" l="0" r="0" t="0"/>
            <wp:docPr descr="Figure 2.8: Coverage of confidence intervals for coin flips, n=20, add 2 successes and 2 failures" title="" id="1" name="Picture"/>
            <a:graphic>
              <a:graphicData uri="http://schemas.openxmlformats.org/drawingml/2006/picture">
                <pic:pic>
                  <pic:nvPicPr>
                    <pic:cNvPr descr="resources/images/week_02_files/figure-docx//1U1PiqeXG4XoKmg8hRFJqE1OFDOJfificBz1jLeDunHo_g257d7b8e795_0_81.png" id="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9" w:name="fig23"/>
      <w:r>
        <w:t xml:space="preserve">Figure </w:t>
      </w:r>
      <w:fldSimple w:instr="SEQ Figure \* ARABIC ">
        <w:r>
          <w:t>23</w:t>
        </w:r>
      </w:fldSimple>
      <w:r>
        <w:t xml:space="preserve">:</w:t>
      </w:r>
      <w:r>
        <w:t xml:space="preserve"> </w:t>
      </w:r>
      <w:bookmarkEnd w:id="109"/>
      <w:r>
        <w:t xml:space="preserve">Figure 2.8: Coverage of confidence intervals for coin flips, n=20, add 2 successes and 2 failures</w:t>
      </w:r>
    </w:p>
    <w:p>
      <w:pPr>
        <w:pStyle w:val="BodyText"/>
      </w:pPr>
      <w:r>
        <w:t xml:space="preserve">Example: Create a Poisson interval using the formula that involves the estimate plus or minus the normal quantile standard error.</w:t>
      </w:r>
      <w:r>
        <w:t xml:space="preserve"> </w:t>
      </w:r>
      <w:r>
        <w:t xml:space="preserve">Although the application of the central limit theorem in this case may be less clear, we will discuss it shortly.Consider a nuclear pump that failed 5 times out of 94.32 days over a monitoring period. We want to calculate a 95% confidence interval for the failure rate per day. Assuming the number of failures follows a Poisson distribution with a failure rate of lambda and the monitoring period is denoted as t, the estimate of the failure rate is the number of failures divided by the total monitoring time. The variance of this estimate is</w:t>
      </w:r>
      <w:r>
        <w:t xml:space="preserve"> </w:t>
      </w:r>
      <m:oMath>
        <m:r>
          <m:t>λ</m:t>
        </m:r>
        <m:r>
          <m:rPr>
            <m:sty m:val="p"/>
          </m:rPr>
          <m:t>/</m:t>
        </m:r>
        <m:r>
          <m:t>t</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t </w:t>
      </w:r>
      <w:r>
        <w:rPr>
          <w:rStyle w:val="OtherTok"/>
        </w:rPr>
        <w:t xml:space="preserve">&lt;-</w:t>
      </w:r>
      <w:r>
        <w:rPr>
          <w:rStyle w:val="NormalTok"/>
        </w:rPr>
        <w:t xml:space="preserve"> </w:t>
      </w:r>
      <w:r>
        <w:rPr>
          <w:rStyle w:val="FloatTok"/>
        </w:rPr>
        <w:t xml:space="preserve">94.32</w:t>
      </w:r>
      <w:r>
        <w:rPr>
          <w:rStyle w:val="NormalTok"/>
        </w:rPr>
        <w:t xml:space="preserve">; lambda </w:t>
      </w:r>
      <w:r>
        <w:rPr>
          <w:rStyle w:val="OtherTok"/>
        </w:rPr>
        <w:t xml:space="preserve">&lt;-</w:t>
      </w:r>
      <w:r>
        <w:rPr>
          <w:rStyle w:val="NormalTok"/>
        </w:rPr>
        <w:t xml:space="preserve"> x </w:t>
      </w:r>
      <w:r>
        <w:rPr>
          <w:rStyle w:val="SpecialCharTok"/>
        </w:rPr>
        <w:t xml:space="preserve">/</w:t>
      </w:r>
      <w:r>
        <w:rPr>
          <w:rStyle w:val="NormalTok"/>
        </w:rPr>
        <w:t xml:space="preserve"> t</w:t>
      </w:r>
      <w:r>
        <w:br/>
      </w:r>
      <w:r>
        <w:rPr>
          <w:rStyle w:val="FunctionTok"/>
        </w:rPr>
        <w:t xml:space="preserve">round</w:t>
      </w:r>
      <w:r>
        <w:rPr>
          <w:rStyle w:val="NormalTok"/>
        </w:rPr>
        <w:t xml:space="preserve">(lambda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(lambda </w:t>
      </w:r>
      <w:r>
        <w:rPr>
          <w:rStyle w:val="SpecialCharTok"/>
        </w:rPr>
        <w:t xml:space="preserve">/</w:t>
      </w:r>
      <w:r>
        <w:rPr>
          <w:rStyle w:val="NormalTok"/>
        </w:rPr>
        <w:t xml:space="preserve"> t), </w:t>
      </w:r>
      <w:r>
        <w:rPr>
          <w:rStyle w:val="DecValTok"/>
        </w:rPr>
        <w:t xml:space="preserve">3</w:t>
      </w:r>
      <w:r>
        <w:rPr>
          <w:rStyle w:val="NormalTok"/>
        </w:rPr>
        <w:t xml:space="preserve">)</w:t>
      </w:r>
      <w:r>
        <w:br/>
      </w:r>
      <w:r>
        <w:rPr>
          <w:rStyle w:val="FunctionTok"/>
        </w:rPr>
        <w:t xml:space="preserve">poisson.test</w:t>
      </w:r>
      <w:r>
        <w:rPr>
          <w:rStyle w:val="NormalTok"/>
        </w:rPr>
        <w:t xml:space="preserve">(x, </w:t>
      </w:r>
      <w:r>
        <w:rPr>
          <w:rStyle w:val="AttributeTok"/>
        </w:rPr>
        <w:t xml:space="preserve">T =</w:t>
      </w:r>
      <w:r>
        <w:rPr>
          <w:rStyle w:val="NormalTok"/>
        </w:rPr>
        <w:t xml:space="preserve"> </w:t>
      </w:r>
      <w:r>
        <w:rPr>
          <w:rStyle w:val="FloatTok"/>
        </w:rPr>
        <w:t xml:space="preserve">94.32</w:t>
      </w:r>
      <w:r>
        <w:rPr>
          <w:rStyle w:val="NormalTok"/>
        </w:rPr>
        <w:t xml:space="preserve">)</w:t>
      </w:r>
      <w:r>
        <w:rPr>
          <w:rStyle w:val="SpecialCharTok"/>
        </w:rPr>
        <w:t xml:space="preserve">$</w:t>
      </w:r>
      <w:r>
        <w:rPr>
          <w:rStyle w:val="NormalTok"/>
        </w:rPr>
        <w:t xml:space="preserve">conf</w:t>
      </w:r>
    </w:p>
    <w:p>
      <w:pPr>
        <w:pStyle w:val="FirstParagraph"/>
      </w:pPr>
      <w:r>
        <w:t xml:space="preserve">In the calculations performed in R, the number of events</w:t>
      </w:r>
      <w:r>
        <w:t xml:space="preserve"> </w:t>
      </w:r>
      <m:oMath>
        <m:r>
          <m:t>x</m:t>
        </m:r>
      </m:oMath>
      <w:r>
        <w:t xml:space="preserve"> </w:t>
      </w:r>
      <w:r>
        <w:t xml:space="preserve">is set to 5, and the monitoring time</w:t>
      </w:r>
      <w:r>
        <w:t xml:space="preserve"> </w:t>
      </w:r>
      <m:oMath>
        <m:r>
          <m:t>t</m:t>
        </m:r>
      </m:oMath>
      <w:r>
        <w:t xml:space="preserve"> </w:t>
      </w:r>
      <w:r>
        <w:t xml:space="preserve">is 94.32. The rate estimate</w:t>
      </w:r>
      <w:r>
        <w:t xml:space="preserve"> </w:t>
      </w:r>
      <m:oMath>
        <m:acc>
          <m:accPr>
            <m:chr m:val="̂"/>
          </m:accPr>
          <m:e>
            <m:r>
              <m:t>λ</m:t>
            </m:r>
          </m:e>
        </m:acc>
      </m:oMath>
      <w:r>
        <w:t xml:space="preserve"> </w:t>
      </w:r>
      <w:r>
        <w:t xml:space="preserve">is computed as</w:t>
      </w:r>
      <w:r>
        <w:t xml:space="preserve"> </w:t>
      </w:r>
      <m:oMath>
        <m:r>
          <m:t>x</m:t>
        </m:r>
        <m:r>
          <m:rPr>
            <m:sty m:val="p"/>
          </m:rPr>
          <m:t>/</m:t>
        </m:r>
        <m:r>
          <m:t>t</m:t>
        </m:r>
      </m:oMath>
      <w:r>
        <w:t xml:space="preserve">, and the confidence interval estimate is obtained by adding or subtracting the relevant standard normal quantile multiplied by the standard error. The resulting interval is rounded to three decimal places. In addition to the large sample interval, we can also calculate an exact Poisson interval using the</w:t>
      </w:r>
      <w:r>
        <w:t xml:space="preserve"> </w:t>
      </w:r>
      <w:r>
        <w:rPr>
          <w:rStyle w:val="VerbatimChar"/>
        </w:rPr>
        <w:t xml:space="preserve">poisson.test</w:t>
      </w:r>
      <w:r>
        <w:t xml:space="preserve"> </w:t>
      </w:r>
      <w:r>
        <w:t xml:space="preserve">function in R. This exact interval guarantees the specified coverage (e.g., 95%), but it may be conservative and result in wider intervals than necessary.</w:t>
      </w:r>
    </w:p>
    <w:p>
      <w:pPr>
        <w:pStyle w:val="BodyText"/>
      </w:pPr>
      <w:r>
        <w:t xml:space="preserve">To examine how confidence intervals perform in repeated samplings, let’s conduct a simulation similar to the one for the coin example, but for the Poisson coverage rate. We select a range of</w:t>
      </w:r>
      <w:r>
        <w:t xml:space="preserve"> </w:t>
      </w:r>
      <m:oMath>
        <m:r>
          <m:t>λ</m:t>
        </m:r>
      </m:oMath>
      <w:r>
        <w:t xml:space="preserve"> </w:t>
      </w:r>
      <w:r>
        <w:t xml:space="preserve">values around those from our previous example and perform 1,000 simulations. The monitoring time is set to 100 for simplicity. We define coverage as the percentage of times the simulated interval contains the true</w:t>
      </w:r>
      <w:r>
        <w:t xml:space="preserve"> </w:t>
      </w:r>
      <m:oMath>
        <m:r>
          <m:t>λ</m:t>
        </m:r>
      </m:oMath>
      <w:r>
        <w:t xml:space="preserve"> </w:t>
      </w:r>
      <w:r>
        <w:t xml:space="preserve">value used in the simulation. The simulation is repeated for various</w:t>
      </w:r>
      <w:r>
        <w:t xml:space="preserve"> </w:t>
      </w:r>
      <m:oMath>
        <m:r>
          <m:t>λ</m:t>
        </m:r>
      </m:oMath>
      <w:r>
        <w:t xml:space="preserve"> </w:t>
      </w:r>
      <w:r>
        <w:t xml:space="preserve">values, and the resulting plot shows the</w:t>
      </w:r>
      <w:r>
        <w:t xml:space="preserve"> </w:t>
      </w:r>
      <m:oMath>
        <m:r>
          <m:t>λ</m:t>
        </m:r>
      </m:oMath>
      <w:r>
        <w:t xml:space="preserve"> </w:t>
      </w:r>
      <w:r>
        <w:t xml:space="preserve">values on the x-axis and the estimated coverage on the y-axis.</w:t>
      </w:r>
    </w:p>
    <w:p>
      <w:pPr>
        <w:pStyle w:val="CaptionedFigure"/>
      </w:pPr>
      <w:r>
        <w:drawing>
          <wp:inline>
            <wp:extent cx="5334000" cy="3000375"/>
            <wp:effectExtent b="0" l="0" r="0" t="0"/>
            <wp:docPr descr="Figure 2.9: Coverage of confidence intervals for Poisson data" title="" id="1" name="Picture"/>
            <a:graphic>
              <a:graphicData uri="http://schemas.openxmlformats.org/drawingml/2006/picture">
                <pic:pic>
                  <pic:nvPicPr>
                    <pic:cNvPr descr="resources/images/week_02_files/figure-docx//1U1PiqeXG4XoKmg8hRFJqE1OFDOJfificBz1jLeDunHo_g257d7b8e795_0_84.png" id="0" name="Picture"/>
                    <pic:cNvPicPr>
                      <a:picLocks noChangeArrowheads="1" noChangeAspect="1"/>
                    </pic:cNvPicPr>
                  </pic:nvPicPr>
                  <pic:blipFill>
                    <a:blip r:embed="rId11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1" w:name="fig24"/>
      <w:r>
        <w:t xml:space="preserve">Figure </w:t>
      </w:r>
      <w:fldSimple w:instr="SEQ Figure \* ARABIC ">
        <w:r>
          <w:t>24</w:t>
        </w:r>
      </w:fldSimple>
      <w:r>
        <w:t xml:space="preserve">:</w:t>
      </w:r>
      <w:r>
        <w:t xml:space="preserve"> </w:t>
      </w:r>
      <w:bookmarkEnd w:id="111"/>
      <w:r>
        <w:t xml:space="preserve">Figure 2.9: Coverage of confidence intervals for Poisson data</w:t>
      </w:r>
    </w:p>
    <w:p>
      <w:pPr>
        <w:pStyle w:val="BodyText"/>
      </w:pPr>
      <w:r>
        <w:t xml:space="preserve">The plot reveals that as</w:t>
      </w:r>
      <w:r>
        <w:t xml:space="preserve"> </w:t>
      </w:r>
      <m:oMath>
        <m:r>
          <m:t>λ</m:t>
        </m:r>
      </m:oMath>
      <w:r>
        <w:t xml:space="preserve"> </w:t>
      </w:r>
      <w:r>
        <w:t xml:space="preserve">values increase, the coverage approaches 95%. However, there is some Monte Carlo error due to the finite number of simulations. On the other hand, as the true</w:t>
      </w:r>
      <w:r>
        <w:t xml:space="preserve"> </w:t>
      </w:r>
      <m:oMath>
        <m:r>
          <m:t>λ</m:t>
        </m:r>
      </m:oMath>
      <w:r>
        <w:t xml:space="preserve"> </w:t>
      </w:r>
      <w:r>
        <w:t xml:space="preserve">value becomes smaller, the coverage deteriorates significantly. For very small</w:t>
      </w:r>
      <w:r>
        <w:t xml:space="preserve"> </w:t>
      </w:r>
      <m:oMath>
        <m:r>
          <m:t>λ</m:t>
        </m:r>
      </m:oMath>
      <w:r>
        <w:t xml:space="preserve"> </w:t>
      </w:r>
      <w:r>
        <w:t xml:space="preserve">values, the purported 95% interval may only provide 50% actual coverage. To address this issue, it is recommended not to rely on the asymptotic interval for small</w:t>
      </w:r>
      <w:r>
        <w:t xml:space="preserve"> </w:t>
      </w:r>
      <m:oMath>
        <m:r>
          <m:t>λ</m:t>
        </m:r>
      </m:oMath>
      <w:r>
        <w:t xml:space="preserve"> </w:t>
      </w:r>
      <w:r>
        <w:t xml:space="preserve">values, especially when there are relatively few events during a large monitoring time. In such cases, the asymptotic interval does not align well with the Poisson distribution. Instead, an exact Poisson interval can be used as an alternative.</w:t>
      </w:r>
    </w:p>
    <w:p>
      <w:pPr>
        <w:pStyle w:val="BodyText"/>
      </w:pPr>
      <w:r>
        <w:t xml:space="preserve">Although the central limit theorem’s application in the Poisson case may not be immediately clear, a simulation with a larger monitoring time (e.g., changing t from 100 to 1,000) demonstrates that as the monitoring time increases, the coverage improves and converges to 95% for most</w:t>
      </w:r>
      <w:r>
        <w:t xml:space="preserve"> </w:t>
      </w:r>
      <m:oMath>
        <m:r>
          <m:t>λ</m:t>
        </m:r>
      </m:oMath>
      <w:r>
        <w:t xml:space="preserve"> </w:t>
      </w:r>
      <w:r>
        <w:t xml:space="preserve">values. However, some poor coverage may still occur for small</w:t>
      </w:r>
      <w:r>
        <w:t xml:space="preserve"> </w:t>
      </w:r>
      <m:oMath>
        <m:r>
          <m:t>λ</m:t>
        </m:r>
      </m:oMath>
      <w:r>
        <w:t xml:space="preserve"> </w:t>
      </w:r>
      <w:r>
        <w:t xml:space="preserve">values, which we know the interval has trouble handling. In such cases, the exact Poisson interval remains a viable option.</w:t>
      </w:r>
    </w:p>
    <w:p>
      <w:pPr>
        <w:pStyle w:val="CaptionedFigure"/>
      </w:pPr>
      <w:r>
        <w:drawing>
          <wp:inline>
            <wp:extent cx="5334000" cy="3000375"/>
            <wp:effectExtent b="0" l="0" r="0" t="0"/>
            <wp:docPr descr="Figure 2.10: Coverage of confidence intervals for Poisson data, t=1000" title="" id="1" name="Picture"/>
            <a:graphic>
              <a:graphicData uri="http://schemas.openxmlformats.org/drawingml/2006/picture">
                <pic:pic>
                  <pic:nvPicPr>
                    <pic:cNvPr descr="resources/images/week_02_files/figure-docx//1U1PiqeXG4XoKmg8hRFJqE1OFDOJfificBz1jLeDunHo_g257d7b8e795_0_122.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3" w:name="fig25"/>
      <w:r>
        <w:t xml:space="preserve">Figure </w:t>
      </w:r>
      <w:fldSimple w:instr="SEQ Figure \* ARABIC ">
        <w:r>
          <w:t>25</w:t>
        </w:r>
      </w:fldSimple>
      <w:r>
        <w:t xml:space="preserve">:</w:t>
      </w:r>
      <w:r>
        <w:t xml:space="preserve"> </w:t>
      </w:r>
      <w:bookmarkEnd w:id="113"/>
      <w:r>
        <w:t xml:space="preserve">Figure 2.10: Coverage of confidence intervals for Poisson data, t=1000</w:t>
      </w:r>
    </w:p>
    <w:p>
      <w:pPr>
        <w:pStyle w:val="BodyText"/>
      </w:pPr>
      <w:r>
        <w:t xml:space="preserve">To summarize briefly, we covered the Law of Large Numbers, which states that averages of independent and identically distributed (iid) random variables converge to the quantities they are estimating. This applies to Poisson rates as well, although the convergence process may be less clear. As the monitoring time tends to infinity, for example, Poisson rates converge to their estimated values. We also discussed the Central Limit Theorem, which states that averages are approximately normally distributed. These distributions are centered at the population mean, a concept we already knew without the theorem, with standard deviations equal to the standard error of the mean. However, the Central Limit Theorem does not guarantee that the sample size is large enough for this approximation to be accurate. We have observed instances where confidence intervals are very accurate and others where they are less accurate. Speaking of confidence intervals, our default approach for constructing them is to take the mean estimate and add or subtract the relevant normal quantile times the standard error. This method, known as</w:t>
      </w:r>
      <w:r>
        <w:t xml:space="preserve"> </w:t>
      </w:r>
      <w:r>
        <w:t xml:space="preserve">“</w:t>
      </w:r>
      <w:r>
        <w:t xml:space="preserve">walled intervals,</w:t>
      </w:r>
      <w:r>
        <w:t xml:space="preserve">”</w:t>
      </w:r>
      <w:r>
        <w:t xml:space="preserve"> </w:t>
      </w:r>
      <w:r>
        <w:t xml:space="preserve">is used not only in this context but also in regression analysis, general linear models, and other complex subjects. For a 95% confidence interval, the quantile value can be taken as 2 or, for more accuracy, 1.96. Confidence intervals become wider as the desired coverage increases within a specific technique. This is because wider intervals provide more certainty that the parameter lies within them. To illustrate, imagine an extreme scenario where your life depends on the confidence interval containing the true parameter. In this case, you would want to make the interval as wide as possible to ensure your safety. The mathematics behind confidence intervals follows the same principle.</w:t>
      </w:r>
      <w:r>
        <w:t xml:space="preserve"> </w:t>
      </w:r>
      <w:r>
        <w:t xml:space="preserve">In the cases of Poisson and binomial distributions, which are discrete, the Central Limit Theorem may not accurately approximate their distributions. However, exact procedures exist for these cases. We also learned a simple fix for constructing confidence intervals in the binomial case by adding two successes and two failures, which provides a better interval without requiring complex computations. This method can be easily done by hand or mentally, even without access to a computer.</w:t>
      </w:r>
    </w:p>
    <w:p>
      <w:pPr>
        <w:numPr>
          <w:ilvl w:val="0"/>
          <w:numId w:val="1007"/>
        </w:numPr>
        <w:pStyle w:val="Compact"/>
      </w:pPr>
      <w:r>
        <w:t xml:space="preserve">The LLN states that averages of iid samples</w:t>
      </w:r>
      <w:r>
        <w:t xml:space="preserve"> </w:t>
      </w:r>
      <w:r>
        <w:t xml:space="preserve">converge to the population means that they are estimating</w:t>
      </w:r>
    </w:p>
    <w:p>
      <w:pPr>
        <w:numPr>
          <w:ilvl w:val="0"/>
          <w:numId w:val="1007"/>
        </w:numPr>
        <w:pStyle w:val="Compact"/>
      </w:pPr>
      <w:r>
        <w:t xml:space="preserve">The CLT states that averages are approximately normal, with distributions</w:t>
      </w:r>
    </w:p>
    <w:p>
      <w:pPr>
        <w:numPr>
          <w:ilvl w:val="1"/>
          <w:numId w:val="1008"/>
        </w:numPr>
        <w:pStyle w:val="Compact"/>
      </w:pPr>
      <w:r>
        <w:t xml:space="preserve">centered at the population mean</w:t>
      </w:r>
    </w:p>
    <w:p>
      <w:pPr>
        <w:numPr>
          <w:ilvl w:val="1"/>
          <w:numId w:val="1008"/>
        </w:numPr>
        <w:pStyle w:val="Compact"/>
      </w:pPr>
      <w:r>
        <w:t xml:space="preserve">with standard deviation equal to the standard error of the mean</w:t>
      </w:r>
    </w:p>
    <w:p>
      <w:pPr>
        <w:numPr>
          <w:ilvl w:val="1"/>
          <w:numId w:val="1008"/>
        </w:numPr>
        <w:pStyle w:val="Compact"/>
      </w:pPr>
      <w:r>
        <w:t xml:space="preserve">CLT gives no guarantee that</w:t>
      </w:r>
      <w:r>
        <w:t xml:space="preserve"> </w:t>
      </w:r>
      <m:oMath>
        <m:r>
          <m:t>n</m:t>
        </m:r>
      </m:oMath>
      <w:r>
        <w:t xml:space="preserve"> </w:t>
      </w:r>
      <w:r>
        <w:t xml:space="preserve">is large enough</w:t>
      </w:r>
    </w:p>
    <w:p>
      <w:pPr>
        <w:numPr>
          <w:ilvl w:val="0"/>
          <w:numId w:val="1007"/>
        </w:numPr>
        <w:pStyle w:val="Compact"/>
      </w:pPr>
      <w:r>
        <w:t xml:space="preserve">Taking the mean and adding and subtracting the relevant</w:t>
      </w:r>
      <w:r>
        <w:t xml:space="preserve"> </w:t>
      </w:r>
      <w:r>
        <w:t xml:space="preserve">normal quantile times the SE yields a confidence interval for the mean</w:t>
      </w:r>
    </w:p>
    <w:p>
      <w:pPr>
        <w:numPr>
          <w:ilvl w:val="1"/>
          <w:numId w:val="1009"/>
        </w:numPr>
        <w:pStyle w:val="Compact"/>
      </w:pPr>
      <w:r>
        <w:t xml:space="preserve">Adding and subtracting 2 SEs works for 95% intervals</w:t>
      </w:r>
    </w:p>
    <w:p>
      <w:pPr>
        <w:numPr>
          <w:ilvl w:val="0"/>
          <w:numId w:val="1007"/>
        </w:numPr>
        <w:pStyle w:val="Compact"/>
      </w:pPr>
      <w:r>
        <w:t xml:space="preserve">Confidence intervals get wider as the coverage increases</w:t>
      </w:r>
      <w:r>
        <w:t xml:space="preserve"> </w:t>
      </w:r>
      <w:r>
        <w:t xml:space="preserve">(why?)</w:t>
      </w:r>
    </w:p>
    <w:p>
      <w:pPr>
        <w:numPr>
          <w:ilvl w:val="0"/>
          <w:numId w:val="1007"/>
        </w:numPr>
        <w:pStyle w:val="Compact"/>
      </w:pPr>
      <w:r>
        <w:t xml:space="preserve">Confidence intervals get narrower with less variability or</w:t>
      </w:r>
      <w:r>
        <w:t xml:space="preserve"> </w:t>
      </w:r>
      <w:r>
        <w:t xml:space="preserve">larger sample sizes</w:t>
      </w:r>
    </w:p>
    <w:p>
      <w:pPr>
        <w:numPr>
          <w:ilvl w:val="0"/>
          <w:numId w:val="1007"/>
        </w:numPr>
        <w:pStyle w:val="Compact"/>
      </w:pPr>
      <w:r>
        <w:t xml:space="preserve">The Poisson and binomial case have exact intervals that</w:t>
      </w:r>
      <w:r>
        <w:t xml:space="preserve"> </w:t>
      </w:r>
      <w:r>
        <w:t xml:space="preserve">don’t require the CLT</w:t>
      </w:r>
    </w:p>
    <w:p>
      <w:pPr>
        <w:numPr>
          <w:ilvl w:val="1"/>
          <w:numId w:val="1010"/>
        </w:numPr>
        <w:pStyle w:val="Compact"/>
      </w:pPr>
      <w:r>
        <w:t xml:space="preserve">But a quick fix for small sample size binomial calculations is to add 2 successes and failures</w:t>
      </w:r>
    </w:p>
    <w:bookmarkEnd w:id="114"/>
    <w:bookmarkEnd w:id="115"/>
    <w:bookmarkStart w:id="116" w:name="practical-r-exercises-in-swirl-1"/>
    <w:p>
      <w:pPr>
        <w:pStyle w:val="Heading2"/>
      </w:pPr>
      <w:r>
        <w:rPr>
          <w:rStyle w:val="SectionNumber"/>
        </w:rPr>
        <w:t xml:space="preserve">2.3</w:t>
      </w:r>
      <w:r>
        <w:tab/>
      </w:r>
      <w:r>
        <w:t xml:space="preserve">Practical R Exercises in swirl</w:t>
      </w:r>
    </w:p>
    <w:p>
      <w:pPr>
        <w:pStyle w:val="FirstParagraph"/>
      </w:pPr>
      <w:r>
        <w:t xml:space="preserve">During this week of the course you should complete the following lessons in the Statistical Inference swirl course:</w:t>
      </w:r>
      <w:r>
        <w:t xml:space="preserve"> </w:t>
      </w:r>
      <w:r>
        <w:t xml:space="preserve">- Variance</w:t>
      </w:r>
      <w:r>
        <w:t xml:space="preserve"> </w:t>
      </w:r>
      <w:r>
        <w:t xml:space="preserve">- CommonDistros</w:t>
      </w:r>
      <w:r>
        <w:t xml:space="preserve"> </w:t>
      </w:r>
      <w:r>
        <w:t xml:space="preserve">- Asymptotics</w:t>
      </w:r>
    </w:p>
    <w:bookmarkEnd w:id="116"/>
    <w:bookmarkEnd w:id="117"/>
    <w:bookmarkStart w:id="138"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30"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9" w:name="fig26"/>
      <w:r>
        <w:t xml:space="preserve">Figure </w:t>
      </w:r>
      <w:fldSimple w:instr="SEQ Figure \* ARABIC ">
        <w:r>
          <w:t>26</w:t>
        </w:r>
      </w:fldSimple>
      <w:r>
        <w:t xml:space="preserve">:</w:t>
      </w:r>
      <w:r>
        <w:t xml:space="preserve"> </w:t>
      </w:r>
      <w:bookmarkEnd w:id="119"/>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1" w:name="fig27"/>
      <w:r>
        <w:t xml:space="preserve">Figure </w:t>
      </w:r>
      <w:fldSimple w:instr="SEQ Figure \* ARABIC ">
        <w:r>
          <w:t>27</w:t>
        </w:r>
      </w:fldSimple>
      <w:r>
        <w:t xml:space="preserve">:</w:t>
      </w:r>
      <w:r>
        <w:t xml:space="preserve"> </w:t>
      </w:r>
      <w:bookmarkEnd w:id="121"/>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3" w:name="fig28"/>
      <w:r>
        <w:t xml:space="preserve">Figure </w:t>
      </w:r>
      <w:fldSimple w:instr="SEQ Figure \* ARABIC ">
        <w:r>
          <w:t>28</w:t>
        </w:r>
      </w:fldSimple>
      <w:r>
        <w:t xml:space="preserve">:</w:t>
      </w:r>
      <w:r>
        <w:t xml:space="preserve"> </w:t>
      </w:r>
      <w:bookmarkEnd w:id="123"/>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28"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5" w:name="fig29"/>
      <w:r>
        <w:t xml:space="preserve">Figure </w:t>
      </w:r>
      <w:fldSimple w:instr="SEQ Figure \* ARABIC ">
        <w:r>
          <w:t>29</w:t>
        </w:r>
      </w:fldSimple>
      <w:r>
        <w:t xml:space="preserve">:</w:t>
      </w:r>
      <w:r>
        <w:t xml:space="preserve"> </w:t>
      </w:r>
      <w:bookmarkEnd w:id="125"/>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7" w:name="fig30"/>
      <w:r>
        <w:t xml:space="preserve">Figure </w:t>
      </w:r>
      <w:fldSimple w:instr="SEQ Figure \* ARABIC ">
        <w:r>
          <w:t>30</w:t>
        </w:r>
      </w:fldSimple>
      <w:r>
        <w:t xml:space="preserve">:</w:t>
      </w:r>
      <w:r>
        <w:t xml:space="preserve"> </w:t>
      </w:r>
      <w:bookmarkEnd w:id="127"/>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28"/>
    <w:bookmarkStart w:id="129"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29"/>
    <w:bookmarkEnd w:id="130"/>
    <w:bookmarkStart w:id="132"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31"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31"/>
    <w:bookmarkEnd w:id="132"/>
    <w:bookmarkStart w:id="133"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33"/>
    <w:bookmarkStart w:id="136"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2.4: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5" w:name="fig31"/>
      <w:r>
        <w:t xml:space="preserve">Figure </w:t>
      </w:r>
      <w:fldSimple w:instr="SEQ Figure \* ARABIC ">
        <w:r>
          <w:t>31</w:t>
        </w:r>
      </w:fldSimple>
      <w:r>
        <w:t xml:space="preserve">:</w:t>
      </w:r>
      <w:r>
        <w:t xml:space="preserve"> </w:t>
      </w:r>
      <w:bookmarkEnd w:id="135"/>
      <w:r>
        <w:t xml:space="preserve">Figure 2.4: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36"/>
    <w:bookmarkStart w:id="137" w:name="practical-r-exercises-in-swirl-2"/>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11"/>
        </w:numPr>
        <w:pStyle w:val="Compact"/>
      </w:pPr>
      <w:r>
        <w:t xml:space="preserve">T Confidence Intervals</w:t>
      </w:r>
    </w:p>
    <w:p>
      <w:pPr>
        <w:numPr>
          <w:ilvl w:val="0"/>
          <w:numId w:val="1011"/>
        </w:numPr>
        <w:pStyle w:val="Compact"/>
      </w:pPr>
      <w:r>
        <w:t xml:space="preserve">Hypothesis Testing</w:t>
      </w:r>
    </w:p>
    <w:p>
      <w:pPr>
        <w:numPr>
          <w:ilvl w:val="0"/>
          <w:numId w:val="1011"/>
        </w:numPr>
        <w:pStyle w:val="Compact"/>
      </w:pPr>
      <w:r>
        <w:t xml:space="preserve">P Values</w:t>
      </w:r>
    </w:p>
    <w:bookmarkEnd w:id="137"/>
    <w:bookmarkEnd w:id="138"/>
    <w:bookmarkStart w:id="177"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44"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43"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0" w:name="fig32"/>
      <w:r>
        <w:t xml:space="preserve">Figure </w:t>
      </w:r>
      <w:fldSimple w:instr="SEQ Figure \* ARABIC ">
        <w:r>
          <w:t>32</w:t>
        </w:r>
      </w:fldSimple>
      <w:r>
        <w:t xml:space="preserve">:</w:t>
      </w:r>
      <w:r>
        <w:t xml:space="preserve"> </w:t>
      </w:r>
      <w:bookmarkEnd w:id="140"/>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2" w:name="fig33"/>
      <w:r>
        <w:t xml:space="preserve">Figure </w:t>
      </w:r>
      <w:fldSimple w:instr="SEQ Figure \* ARABIC ">
        <w:r>
          <w:t>33</w:t>
        </w:r>
      </w:fldSimple>
      <w:r>
        <w:t xml:space="preserve">:</w:t>
      </w:r>
      <w:r>
        <w:t xml:space="preserve"> </w:t>
      </w:r>
      <w:bookmarkEnd w:id="142"/>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12"/>
        </w:numPr>
        <w:pStyle w:val="Compact"/>
      </w:pPr>
      <w:r>
        <w:t xml:space="preserve">As alpha (significance level) increases, power also increases. The power of a one-sided test is greater than the power of the corresponding two-sided test.</w:t>
      </w:r>
    </w:p>
    <w:p>
      <w:pPr>
        <w:numPr>
          <w:ilvl w:val="0"/>
          <w:numId w:val="1012"/>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12"/>
        </w:numPr>
        <w:pStyle w:val="Compact"/>
      </w:pPr>
      <w:r>
        <w:t xml:space="preserve">As the sample size (n) increases, the sample mean has less variability, resulting in higher power.</w:t>
      </w:r>
    </w:p>
    <w:p>
      <w:pPr>
        <w:numPr>
          <w:ilvl w:val="0"/>
          <w:numId w:val="1012"/>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43"/>
    <w:bookmarkEnd w:id="144"/>
    <w:bookmarkStart w:id="172"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45">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46"/>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47" w:name="fig34"/>
      <w:r>
        <w:t xml:space="preserve">Figure </w:t>
      </w:r>
      <w:fldSimple w:instr="SEQ Figure \* ARABIC ">
        <w:r>
          <w:t>34</w:t>
        </w:r>
      </w:fldSimple>
      <w:r>
        <w:t xml:space="preserve">:</w:t>
      </w:r>
      <w:r>
        <w:t xml:space="preserve"> </w:t>
      </w:r>
      <w:bookmarkEnd w:id="147"/>
      <w:hyperlink r:id="rId148">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49">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50">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2" w:name="fig35"/>
      <w:r>
        <w:t xml:space="preserve">Figure </w:t>
      </w:r>
      <w:fldSimple w:instr="SEQ Figure \* ARABIC ">
        <w:r>
          <w:t>35</w:t>
        </w:r>
      </w:fldSimple>
      <w:r>
        <w:t xml:space="preserve">:</w:t>
      </w:r>
      <w:r>
        <w:t xml:space="preserve"> </w:t>
      </w:r>
      <w:bookmarkEnd w:id="152"/>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5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4" w:name="fig36"/>
      <w:r>
        <w:t xml:space="preserve">Figure </w:t>
      </w:r>
      <w:fldSimple w:instr="SEQ Figure \* ARABIC ">
        <w:r>
          <w:t>36</w:t>
        </w:r>
      </w:fldSimple>
      <w:r>
        <w:t xml:space="preserve">:</w:t>
      </w:r>
      <w:r>
        <w:t xml:space="preserve"> </w:t>
      </w:r>
      <w:bookmarkEnd w:id="154"/>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13"/>
        </w:numPr>
        <w:pStyle w:val="Compact"/>
      </w:pPr>
      <w:hyperlink r:id="rId155">
        <w:r>
          <w:rPr>
            <w:rStyle w:val="Hyperlink"/>
          </w:rPr>
          <w:t xml:space="preserve">Multiple testing procedures with applications to genomics</w:t>
        </w:r>
      </w:hyperlink>
    </w:p>
    <w:p>
      <w:pPr>
        <w:numPr>
          <w:ilvl w:val="0"/>
          <w:numId w:val="1013"/>
        </w:numPr>
        <w:pStyle w:val="Compact"/>
      </w:pPr>
      <w:hyperlink r:id="rId156">
        <w:r>
          <w:rPr>
            <w:rStyle w:val="Hyperlink"/>
          </w:rPr>
          <w:t xml:space="preserve">Statistical significance for genome-wide studies</w:t>
        </w:r>
      </w:hyperlink>
    </w:p>
    <w:p>
      <w:pPr>
        <w:numPr>
          <w:ilvl w:val="0"/>
          <w:numId w:val="1013"/>
        </w:numPr>
        <w:pStyle w:val="Compact"/>
      </w:pPr>
      <w:hyperlink r:id="rId157">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9" w:name="fig37"/>
      <w:r>
        <w:t xml:space="preserve">Figure </w:t>
      </w:r>
      <w:fldSimple w:instr="SEQ Figure \* ARABIC ">
        <w:r>
          <w:t>37</w:t>
        </w:r>
      </w:fldSimple>
      <w:r>
        <w:t xml:space="preserve">:</w:t>
      </w:r>
      <w:r>
        <w:t xml:space="preserve"> </w:t>
      </w:r>
      <w:bookmarkEnd w:id="159"/>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1" w:name="fig38"/>
      <w:r>
        <w:t xml:space="preserve">Figure </w:t>
      </w:r>
      <w:fldSimple w:instr="SEQ Figure \* ARABIC ">
        <w:r>
          <w:t>38</w:t>
        </w:r>
      </w:fldSimple>
      <w:r>
        <w:t xml:space="preserve">:</w:t>
      </w:r>
      <w:r>
        <w:t xml:space="preserve"> </w:t>
      </w:r>
      <w:bookmarkEnd w:id="161"/>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6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3" w:name="fig39"/>
      <w:r>
        <w:t xml:space="preserve">Figure </w:t>
      </w:r>
      <w:fldSimple w:instr="SEQ Figure \* ARABIC ">
        <w:r>
          <w:t>39</w:t>
        </w:r>
      </w:fldSimple>
      <w:r>
        <w:t xml:space="preserve">:</w:t>
      </w:r>
      <w:r>
        <w:t xml:space="preserve"> </w:t>
      </w:r>
      <w:bookmarkEnd w:id="163"/>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66"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5" w:name="fig40"/>
      <w:r>
        <w:t xml:space="preserve">Figure </w:t>
      </w:r>
      <w:fldSimple w:instr="SEQ Figure \* ARABIC ">
        <w:r>
          <w:t>40</w:t>
        </w:r>
      </w:fldSimple>
      <w:r>
        <w:t xml:space="preserve">:</w:t>
      </w:r>
      <w:r>
        <w:t xml:space="preserve"> </w:t>
      </w:r>
      <w:bookmarkEnd w:id="165"/>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66"/>
    <w:bookmarkStart w:id="171"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8" w:name="fig41"/>
      <w:r>
        <w:t xml:space="preserve">Figure </w:t>
      </w:r>
      <w:fldSimple w:instr="SEQ Figure \* ARABIC ">
        <w:r>
          <w:t>41</w:t>
        </w:r>
      </w:fldSimple>
      <w:r>
        <w:t xml:space="preserve">:</w:t>
      </w:r>
      <w:r>
        <w:t xml:space="preserve"> </w:t>
      </w:r>
      <w:bookmarkEnd w:id="168"/>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2.4: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6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70" w:name="fig42"/>
      <w:r>
        <w:t xml:space="preserve">Figure </w:t>
      </w:r>
      <w:fldSimple w:instr="SEQ Figure \* ARABIC ">
        <w:r>
          <w:t>42</w:t>
        </w:r>
      </w:fldSimple>
      <w:r>
        <w:t xml:space="preserve">:</w:t>
      </w:r>
      <w:r>
        <w:t xml:space="preserve"> </w:t>
      </w:r>
      <w:bookmarkEnd w:id="170"/>
      <w:r>
        <w:t xml:space="preserve">Figure 2.4: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71"/>
    <w:bookmarkEnd w:id="172"/>
    <w:bookmarkStart w:id="175" w:name="course-project"/>
    <w:p>
      <w:pPr>
        <w:pStyle w:val="Heading2"/>
      </w:pPr>
      <w:r>
        <w:rPr>
          <w:rStyle w:val="SectionNumber"/>
        </w:rPr>
        <w:t xml:space="preserve">4.3</w:t>
      </w:r>
      <w:r>
        <w:tab/>
      </w:r>
      <w:r>
        <w:t xml:space="preserve">Course project</w:t>
      </w:r>
    </w:p>
    <w:bookmarkStart w:id="173" w:name="part-1-simulation-exercise-instructions"/>
    <w:p>
      <w:pPr>
        <w:pStyle w:val="Heading3"/>
      </w:pPr>
      <w:r>
        <w:rPr>
          <w:rStyle w:val="SectionNumber"/>
        </w:rPr>
        <w:t xml:space="preserve">4.3.1</w:t>
      </w:r>
      <w:r>
        <w:tab/>
      </w:r>
      <w:r>
        <w:t xml:space="preserve">Part 1: Simulation Exercise Instructions</w:t>
      </w:r>
    </w:p>
    <w:p>
      <w:pPr>
        <w:pStyle w:val="FirstParagraph"/>
      </w:pPr>
      <w:r>
        <w:t xml:space="preserve">In this project you will investigate the exponential distribution in R and compare it with the Central Limit Theorem. The exponential distribution can be simulated in R with</w:t>
      </w:r>
      <w:r>
        <w:t xml:space="preserve"> </w:t>
      </w:r>
      <w:r>
        <w:rPr>
          <w:rStyle w:val="VerbatimChar"/>
        </w:rPr>
        <w:t xml:space="preserve">rexp(n, lambda)</w:t>
      </w:r>
      <w:r>
        <w:t xml:space="preserve"> </w:t>
      </w:r>
      <w:r>
        <w:t xml:space="preserve">where lambda is the rate parameter. The mean of exponential distribution is 1/lambda and the standard deviation is also 1/lambda. Set lambda = 0.2 for all of the simulations. You will investigate the distribution of averages of 40 exponentials. Note that you will need to do a thousand simulations.</w:t>
      </w:r>
    </w:p>
    <w:p>
      <w:pPr>
        <w:pStyle w:val="BodyText"/>
      </w:pPr>
      <w:r>
        <w:t xml:space="preserve">Illustrate via simulation and associated explanatory text the properties of the distribution of the mean of 40 exponentials. You should:</w:t>
      </w:r>
      <w:r>
        <w:t xml:space="preserve"> </w:t>
      </w:r>
      <w:r>
        <w:t xml:space="preserve">- Show the sample mean and compare it to the theoretical mean of the distribution.</w:t>
      </w:r>
      <w:r>
        <w:t xml:space="preserve"> </w:t>
      </w:r>
      <w:r>
        <w:t xml:space="preserve">- Show how variable the sample is (via variance) and compare it to the theoretical variance of the distribution.</w:t>
      </w:r>
      <w:r>
        <w:t xml:space="preserve"> </w:t>
      </w:r>
      <w:r>
        <w:t xml:space="preserve">- Show that the distribution is approximately normal.</w:t>
      </w:r>
    </w:p>
    <w:p>
      <w:pPr>
        <w:pStyle w:val="BodyText"/>
      </w:pPr>
      <w:r>
        <w:t xml:space="preserve">In point 3, focus on the difference between the distribution of a large collection of random exponentials and the distribution of a large collection of averages of 40 exponentials.</w:t>
      </w:r>
    </w:p>
    <w:p>
      <w:pPr>
        <w:pStyle w:val="BodyText"/>
      </w:pPr>
      <w:r>
        <w:t xml:space="preserve">As a motivating example, compare the distribution of 1000 random uniforms</w:t>
      </w:r>
    </w:p>
    <w:p>
      <w:pPr>
        <w:pStyle w:val="SourceCode"/>
      </w:pPr>
      <w:r>
        <w:rPr>
          <w:rStyle w:val="FunctionTok"/>
        </w:rPr>
        <w:t xml:space="preserve">hist</w:t>
      </w:r>
      <w:r>
        <w:rPr>
          <w:rStyle w:val="NormalTok"/>
        </w:rPr>
        <w:t xml:space="preserve">(</w:t>
      </w:r>
      <w:r>
        <w:rPr>
          <w:rStyle w:val="FunctionTok"/>
        </w:rPr>
        <w:t xml:space="preserve">runif</w:t>
      </w:r>
      <w:r>
        <w:rPr>
          <w:rStyle w:val="NormalTok"/>
        </w:rPr>
        <w:t xml:space="preserve">(</w:t>
      </w:r>
      <w:r>
        <w:rPr>
          <w:rStyle w:val="DecValTok"/>
        </w:rPr>
        <w:t xml:space="preserve">1000</w:t>
      </w:r>
      <w:r>
        <w:rPr>
          <w:rStyle w:val="NormalTok"/>
        </w:rPr>
        <w:t xml:space="preserve">))</w:t>
      </w:r>
    </w:p>
    <w:p>
      <w:pPr>
        <w:pStyle w:val="FirstParagraph"/>
      </w:pPr>
      <w:r>
        <w:t xml:space="preserve">and the distribution of 1000 averages of 40 random uniforms</w:t>
      </w:r>
    </w:p>
    <w:p>
      <w:pPr>
        <w:pStyle w:val="SourceCode"/>
      </w:pPr>
      <w:r>
        <w:rPr>
          <w:rStyle w:val="NormalTok"/>
        </w:rPr>
        <w:t xml:space="preserve">mns </w:t>
      </w:r>
      <w:r>
        <w:rPr>
          <w:rStyle w:val="OtherTok"/>
        </w:rPr>
        <w:t xml:space="preserve">=</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w:t>
      </w:r>
      <w:r>
        <w:rPr>
          <w:rStyle w:val="NormalTok"/>
        </w:rPr>
        <w:t xml:space="preserve">) mns </w:t>
      </w:r>
      <w:r>
        <w:rPr>
          <w:rStyle w:val="OtherTok"/>
        </w:rPr>
        <w:t xml:space="preserve">=</w:t>
      </w:r>
      <w:r>
        <w:rPr>
          <w:rStyle w:val="NormalTok"/>
        </w:rPr>
        <w:t xml:space="preserve"> </w:t>
      </w:r>
      <w:r>
        <w:rPr>
          <w:rStyle w:val="FunctionTok"/>
        </w:rPr>
        <w:t xml:space="preserve">c</w:t>
      </w:r>
      <w:r>
        <w:rPr>
          <w:rStyle w:val="NormalTok"/>
        </w:rPr>
        <w:t xml:space="preserve">(mns, </w:t>
      </w:r>
      <w:r>
        <w:rPr>
          <w:rStyle w:val="FunctionTok"/>
        </w:rPr>
        <w:t xml:space="preserve">mean</w:t>
      </w:r>
      <w:r>
        <w:rPr>
          <w:rStyle w:val="NormalTok"/>
        </w:rPr>
        <w:t xml:space="preserve">(</w:t>
      </w:r>
      <w:r>
        <w:rPr>
          <w:rStyle w:val="FunctionTok"/>
        </w:rPr>
        <w:t xml:space="preserve">runif</w:t>
      </w:r>
      <w:r>
        <w:rPr>
          <w:rStyle w:val="NormalTok"/>
        </w:rPr>
        <w:t xml:space="preserve">(</w:t>
      </w:r>
      <w:r>
        <w:rPr>
          <w:rStyle w:val="DecValTok"/>
        </w:rPr>
        <w:t xml:space="preserve">40</w:t>
      </w:r>
      <w:r>
        <w:rPr>
          <w:rStyle w:val="NormalTok"/>
        </w:rPr>
        <w:t xml:space="preserve">)))</w:t>
      </w:r>
      <w:r>
        <w:br/>
      </w:r>
      <w:r>
        <w:rPr>
          <w:rStyle w:val="FunctionTok"/>
        </w:rPr>
        <w:t xml:space="preserve">hist</w:t>
      </w:r>
      <w:r>
        <w:rPr>
          <w:rStyle w:val="NormalTok"/>
        </w:rPr>
        <w:t xml:space="preserve">(mns)</w:t>
      </w:r>
    </w:p>
    <w:p>
      <w:pPr>
        <w:pStyle w:val="FirstParagraph"/>
      </w:pPr>
      <w:r>
        <w:t xml:space="preserve">This distribution looks far more Gaussian than the original uniform distribution!</w:t>
      </w:r>
      <w:r>
        <w:t xml:space="preserve"> </w:t>
      </w:r>
      <w:r>
        <w:t xml:space="preserve">This exercise is asking you to use your knowledge of the theory given in class to relate the two distributions.</w:t>
      </w:r>
      <w:r>
        <w:t xml:space="preserve"> </w:t>
      </w:r>
      <w:r>
        <w:t xml:space="preserve">Confused? Try re-watching video lecture 07 for a starter on how to complete this project.</w:t>
      </w:r>
    </w:p>
    <w:bookmarkEnd w:id="173"/>
    <w:bookmarkStart w:id="174" w:name="Xf3484ba4e22f2d785329dbdad048225ceed229c"/>
    <w:p>
      <w:pPr>
        <w:pStyle w:val="Heading3"/>
      </w:pPr>
      <w:r>
        <w:rPr>
          <w:rStyle w:val="SectionNumber"/>
        </w:rPr>
        <w:t xml:space="preserve">4.3.2</w:t>
      </w:r>
      <w:r>
        <w:tab/>
      </w:r>
      <w:r>
        <w:t xml:space="preserve">Part 2: Basic Inferential Data Analysis Instructions</w:t>
      </w:r>
    </w:p>
    <w:p>
      <w:pPr>
        <w:pStyle w:val="FirstParagraph"/>
      </w:pPr>
      <w:r>
        <w:t xml:space="preserve">In the second portion of the project, we’re going to analyze the ToothGrowth data in the R datasets package.</w:t>
      </w:r>
      <w:r>
        <w:t xml:space="preserve"> </w:t>
      </w:r>
      <w:r>
        <w:t xml:space="preserve">- Load the</w:t>
      </w:r>
      <w:r>
        <w:t xml:space="preserve"> </w:t>
      </w:r>
      <w:r>
        <w:rPr>
          <w:rStyle w:val="VerbatimChar"/>
        </w:rPr>
        <w:t xml:space="preserve">ToothGrowth</w:t>
      </w:r>
      <w:r>
        <w:t xml:space="preserve"> </w:t>
      </w:r>
      <w:r>
        <w:t xml:space="preserve">data and perform some basic exploratory data analyses</w:t>
      </w:r>
      <w:r>
        <w:t xml:space="preserve"> </w:t>
      </w:r>
      <w:r>
        <w:t xml:space="preserve">- Provide a basic summary of the data.</w:t>
      </w:r>
      <w:r>
        <w:t xml:space="preserve"> </w:t>
      </w:r>
      <w:r>
        <w:t xml:space="preserve">- Use confidence intervals and/or hypothesis tests to compare tooth growth by supp and dose. (Only use the techniques from class, even if there’s other approaches worth considering)</w:t>
      </w:r>
      <w:r>
        <w:t xml:space="preserve"> </w:t>
      </w:r>
      <w:r>
        <w:t xml:space="preserve">- State your conclusions and the assumptions needed for your conclusions.</w:t>
      </w:r>
    </w:p>
    <w:bookmarkEnd w:id="174"/>
    <w:bookmarkEnd w:id="175"/>
    <w:bookmarkStart w:id="176" w:name="practical-r-exercises-in-swirl-3"/>
    <w:p>
      <w:pPr>
        <w:pStyle w:val="Heading2"/>
      </w:pPr>
      <w:r>
        <w:rPr>
          <w:rStyle w:val="SectionNumber"/>
        </w:rPr>
        <w:t xml:space="preserve">4.4</w:t>
      </w:r>
      <w:r>
        <w:tab/>
      </w:r>
      <w:r>
        <w:t xml:space="preserve">Practical R Exercises in swirl</w:t>
      </w:r>
    </w:p>
    <w:p>
      <w:pPr>
        <w:pStyle w:val="FirstParagraph"/>
      </w:pPr>
      <w:r>
        <w:t xml:space="preserve">During this week of the course you should complete the following lessons in the Statistical Inference swirl course:</w:t>
      </w:r>
      <w:r>
        <w:t xml:space="preserve"> </w:t>
      </w:r>
      <w:r>
        <w:t xml:space="preserve">- Power</w:t>
      </w:r>
      <w:r>
        <w:t xml:space="preserve"> </w:t>
      </w:r>
      <w:r>
        <w:t xml:space="preserve">- Multiple Testing</w:t>
      </w:r>
      <w:r>
        <w:t xml:space="preserve"> </w:t>
      </w:r>
      <w:r>
        <w:t xml:space="preserve">- Resampling</w:t>
      </w:r>
    </w:p>
    <w:bookmarkEnd w:id="176"/>
    <w:bookmarkEnd w:id="177"/>
    <w:bookmarkStart w:id="185" w:name="about-the-authors"/>
    <w:p>
      <w:pPr>
        <w:pStyle w:val="Heading1"/>
      </w:pPr>
      <w:r>
        <w:t xml:space="preserve">About the Authors</w:t>
      </w:r>
    </w:p>
    <w:p>
      <w:pPr>
        <w:pStyle w:val="FirstParagraph"/>
      </w:pPr>
      <w:r>
        <w:t xml:space="preserve">These credits are based on our</w:t>
      </w:r>
      <w:r>
        <w:t xml:space="preserve"> </w:t>
      </w:r>
      <w:hyperlink r:id="rId17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80">
              <w:r>
                <w:rPr>
                  <w:rStyle w:val="Hyperlink"/>
                </w:rPr>
                <w:t xml:space="preserve">Candace Savonen</w:t>
              </w:r>
            </w:hyperlink>
            <w:r>
              <w:t xml:space="preserve">,</w:t>
            </w:r>
            <w:r>
              <w:t xml:space="preserve"> </w:t>
            </w:r>
            <w:hyperlink r:id="rId181">
              <w:r>
                <w:rPr>
                  <w:rStyle w:val="Hyperlink"/>
                </w:rPr>
                <w:t xml:space="preserve">Carrie Wright</w:t>
              </w:r>
            </w:hyperlink>
            <w:r>
              <w:t xml:space="preserve">,</w:t>
            </w:r>
            <w:r>
              <w:t xml:space="preserve"> </w:t>
            </w:r>
            <w:hyperlink r:id="rId18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8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1">
              <w:r>
                <w:rPr>
                  <w:rStyle w:val="Hyperlink"/>
                </w:rPr>
                <w:t xml:space="preserve">Carrie Wright</w:t>
              </w:r>
            </w:hyperlink>
            <w:r>
              <w:t xml:space="preserve">,</w:t>
            </w:r>
            <w:r>
              <w:t xml:space="preserve"> </w:t>
            </w:r>
            <w:hyperlink r:id="rId182">
              <w:r>
                <w:rPr>
                  <w:rStyle w:val="Hyperlink"/>
                </w:rPr>
                <w:t xml:space="preserve">Ava Hoffman</w:t>
              </w:r>
            </w:hyperlink>
            <w:r>
              <w:t xml:space="preserve">,</w:t>
            </w:r>
            <w:r>
              <w:t xml:space="preserve"> </w:t>
            </w:r>
            <w:hyperlink r:id="rId180">
              <w:r>
                <w:rPr>
                  <w:rStyle w:val="Hyperlink"/>
                </w:rPr>
                <w:t xml:space="preserve">Candace Savonen</w:t>
              </w:r>
            </w:hyperlink>
          </w:p>
        </w:tc>
      </w:tr>
      <w:tr>
        <w:tc>
          <w:tcPr/>
          <w:p>
            <w:pPr>
              <w:pStyle w:val="Compact"/>
              <w:jc w:val="left"/>
            </w:pPr>
            <w:r>
              <w:t xml:space="preserve">Package Developers (</w:t>
            </w:r>
            <w:hyperlink r:id="rId183">
              <w:r>
                <w:rPr>
                  <w:rStyle w:val="Hyperlink"/>
                </w:rPr>
                <w:t xml:space="preserve">ottrpal</w:t>
              </w:r>
            </w:hyperlink>
            <w:r>
              <w:t xml:space="preserve">)</w:t>
            </w:r>
            <w:r>
              <w:t xml:space="preserve"> </w:t>
            </w:r>
            <w:hyperlink r:id="rId180">
              <w:r>
                <w:rPr>
                  <w:rStyle w:val="Hyperlink"/>
                </w:rPr>
                <w:t xml:space="preserve">Candace Savonen</w:t>
              </w:r>
            </w:hyperlink>
            <w:r>
              <w:t xml:space="preserve">,</w:t>
            </w:r>
            <w:r>
              <w:t xml:space="preserve"> </w:t>
            </w:r>
            <w:hyperlink r:id="rId184">
              <w:r>
                <w:rPr>
                  <w:rStyle w:val="Hyperlink"/>
                </w:rPr>
                <w:t xml:space="preserve">John Muschelli</w:t>
              </w:r>
            </w:hyperlink>
            <w:r>
              <w:t xml:space="preserve">,</w:t>
            </w:r>
            <w:r>
              <w:t xml:space="preserve"> </w:t>
            </w:r>
            <w:hyperlink r:id="rId18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85"/>
    <w:bookmarkStart w:id="186" w:name="references"/>
    <w:p>
      <w:pPr>
        <w:pStyle w:val="Heading1"/>
      </w:pPr>
      <w:r>
        <w:rPr>
          <w:rStyle w:val="SectionNumber"/>
        </w:rPr>
        <w:t xml:space="preserve">5</w:t>
      </w:r>
      <w:r>
        <w:tab/>
      </w:r>
      <w:r>
        <w:t xml:space="preserve">References</w:t>
      </w:r>
    </w:p>
    <w:bookmarkEnd w:id="1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6" Target="media/rId146.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24" Target="media/rId124.png" /><Relationship Type="http://schemas.openxmlformats.org/officeDocument/2006/relationships/image" Id="rId126" Target="media/rId126.png" /><Relationship Type="http://schemas.openxmlformats.org/officeDocument/2006/relationships/image" Id="rId134" Target="media/rId134.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60" Target="media/rId160.png" /><Relationship Type="http://schemas.openxmlformats.org/officeDocument/2006/relationships/image" Id="rId162" Target="media/rId162.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69" Target="media/rId169.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57"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55" Target="http://www.amazon.com/Multiple-Procedures-Applications-Genomics-Statistics/dp/0387493166/ref=sr_1_2/102-3292576-129059?ie=UTF8&amp;s=books&amp;qid=1187394873&amp;sr=1-2" TargetMode="External" /><Relationship Type="http://schemas.openxmlformats.org/officeDocument/2006/relationships/hyperlink" Id="rId156" Target="http://www.pnas.org/content/100/16/9440.full" TargetMode="External" /><Relationship Type="http://schemas.openxmlformats.org/officeDocument/2006/relationships/hyperlink" Id="rId181" Target="https://carriewright11.github.io/" TargetMode="External" /><Relationship Type="http://schemas.openxmlformats.org/officeDocument/2006/relationships/hyperlink" Id="rId150" Target="https://en.wikipedia.org/wiki/Bonferroni_correction" TargetMode="External" /><Relationship Type="http://schemas.openxmlformats.org/officeDocument/2006/relationships/hyperlink" Id="rId149"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83"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48" Target="https://imgs.xkcd.com/comics/significant.png" TargetMode="External" /><Relationship Type="http://schemas.openxmlformats.org/officeDocument/2006/relationships/hyperlink" Id="rId184"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02" Target="https://upload.wikimedia.org/wikipedia/commons/c/c1/Galton_box.jpg" TargetMode="External" /><Relationship Type="http://schemas.openxmlformats.org/officeDocument/2006/relationships/hyperlink" Id="rId182" Target="https://www.avahoffman.com/" TargetMode="External" /><Relationship Type="http://schemas.openxmlformats.org/officeDocument/2006/relationships/hyperlink" Id="rId180" Target="https://www.cansavvy.com/" TargetMode="External" /><Relationship Type="http://schemas.openxmlformats.org/officeDocument/2006/relationships/hyperlink" Id="rId178"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45" Target="https://xkcd.com/882/" TargetMode="External" /><Relationship Type="http://schemas.openxmlformats.org/officeDocument/2006/relationships/hyperlink" Id="rId179"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57"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55" Target="http://www.amazon.com/Multiple-Procedures-Applications-Genomics-Statistics/dp/0387493166/ref=sr_1_2/102-3292576-129059?ie=UTF8&amp;s=books&amp;qid=1187394873&amp;sr=1-2" TargetMode="External" /><Relationship Type="http://schemas.openxmlformats.org/officeDocument/2006/relationships/hyperlink" Id="rId156" Target="http://www.pnas.org/content/100/16/9440.full" TargetMode="External" /><Relationship Type="http://schemas.openxmlformats.org/officeDocument/2006/relationships/hyperlink" Id="rId181" Target="https://carriewright11.github.io/" TargetMode="External" /><Relationship Type="http://schemas.openxmlformats.org/officeDocument/2006/relationships/hyperlink" Id="rId150" Target="https://en.wikipedia.org/wiki/Bonferroni_correction" TargetMode="External" /><Relationship Type="http://schemas.openxmlformats.org/officeDocument/2006/relationships/hyperlink" Id="rId149"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83"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48" Target="https://imgs.xkcd.com/comics/significant.png" TargetMode="External" /><Relationship Type="http://schemas.openxmlformats.org/officeDocument/2006/relationships/hyperlink" Id="rId184"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02" Target="https://upload.wikimedia.org/wikipedia/commons/c/c1/Galton_box.jpg" TargetMode="External" /><Relationship Type="http://schemas.openxmlformats.org/officeDocument/2006/relationships/hyperlink" Id="rId182" Target="https://www.avahoffman.com/" TargetMode="External" /><Relationship Type="http://schemas.openxmlformats.org/officeDocument/2006/relationships/hyperlink" Id="rId180" Target="https://www.cansavvy.com/" TargetMode="External" /><Relationship Type="http://schemas.openxmlformats.org/officeDocument/2006/relationships/hyperlink" Id="rId178"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45" Target="https://xkcd.com/882/" TargetMode="External" /><Relationship Type="http://schemas.openxmlformats.org/officeDocument/2006/relationships/hyperlink" Id="rId179"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2023-07-12T16:15:15Z</dcterms:created>
  <dcterms:modified xsi:type="dcterms:W3CDTF">2023-07-12T16:15:15Z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