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96.png" ContentType="image/png"/>
  <Override PartName="/word/media/rId97.png" ContentType="image/png"/>
  <Override PartName="/word/media/rId101.png" ContentType="image/png"/>
  <Override PartName="/word/media/rId102.png" ContentType="image/png"/>
  <Override PartName="/word/media/rId108.png" ContentType="image/png"/>
  <Override PartName="/word/media/rId82.png" ContentType="image/png"/>
  <Override PartName="/word/media/rId83.png" ContentType="image/png"/>
  <Override PartName="/word/media/rId85.png" ContentType="image/png"/>
  <Override PartName="/word/media/rId86.png" ContentType="image/png"/>
  <Override PartName="/word/media/rId88.png" ContentType="image/png"/>
  <Override PartName="/word/media/rId104.png" ContentType="image/png"/>
  <Override PartName="/word/media/rId106.png" ContentType="image/png"/>
  <Override PartName="/word/media/rId93.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81"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bookmarkEnd w:id="80"/>
    <w:bookmarkEnd w:id="81"/>
    <w:bookmarkStart w:id="113" w:name="variability-distribution-asymptotics"/>
    <w:p>
      <w:pPr>
        <w:pStyle w:val="Heading1"/>
      </w:pPr>
      <w:r>
        <w:rPr>
          <w:rStyle w:val="SectionNumber"/>
        </w:rPr>
        <w:t xml:space="preserve">2</w:t>
      </w:r>
      <w:r>
        <w:tab/>
      </w:r>
      <w:r>
        <w:t xml:space="preserve">Variability, Distribution, &amp; Asymptotics</w:t>
      </w:r>
    </w:p>
    <w:bookmarkStart w:id="92" w:name="variability"/>
    <w:p>
      <w:pPr>
        <w:pStyle w:val="Heading2"/>
      </w:pPr>
      <w:r>
        <w:rPr>
          <w:rStyle w:val="SectionNumber"/>
        </w:rPr>
        <w:t xml:space="preserve">2.1</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resources/images/week_02_files/figure-docx//1U1PiqeXG4XoKmg8hRFJqE1OFDOJfificBz1jLeDunHo_g257d7b8e795_0_1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7" w:name="variance-simulation-examples"/>
    <w:p>
      <w:pPr>
        <w:pStyle w:val="Heading3"/>
      </w:pPr>
      <w:r>
        <w:rPr>
          <w:rStyle w:val="SectionNumber"/>
        </w:rPr>
        <w:t xml:space="preserve">2.1.1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resources/images/week_02_files/figure-docx//1U1PiqeXG4XoKmg8hRFJqE1OFDOJfificBz1jLeDunHo_g257d7b8e795_0_69.png" id="0" name="Picture"/>
                    <pic:cNvPicPr>
                      <a:picLocks noChangeArrowheads="1" noChangeAspect="1"/>
                    </pic:cNvPicPr>
                  </pic:nvPicPr>
                  <pic:blipFill>
                    <a:blip r:embed="rId8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4" w:name="fig15"/>
      <w:r>
        <w:t xml:space="preserve">Figure </w:t>
      </w:r>
      <w:fldSimple w:instr="SEQ Figure \* ARABIC ">
        <w:r>
          <w:t>15</w:t>
        </w:r>
      </w:fldSimple>
      <w:r>
        <w:t xml:space="preserve">:</w:t>
      </w:r>
      <w:r>
        <w:t xml:space="preserve"> </w:t>
      </w:r>
      <w:bookmarkEnd w:id="84"/>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resources/images/week_02_files/figure-docx//1U1PiqeXG4XoKmg8hRFJqE1OFDOJfificBz1jLeDunHo_g257d7b8e795_0_72.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VerbatimChar"/>
        </w:rPr>
        <w:t xml:space="preserve">## [1] 0.3129224</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2.1: Histogram of son heights" title="" id="1" name="Picture"/>
            <a:graphic>
              <a:graphicData uri="http://schemas.openxmlformats.org/drawingml/2006/picture">
                <pic:pic>
                  <pic:nvPicPr>
                    <pic:cNvPr descr="resources/images/week_02_files/figure-docx//1U1PiqeXG4XoKmg8hRFJqE1OFDOJfificBz1jLeDunHo_g257d7b8e795_0_75.png" id="0"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7"/>
    <w:bookmarkStart w:id="90" w:name="normal-distribution"/>
    <w:p>
      <w:pPr>
        <w:pStyle w:val="Heading3"/>
      </w:pPr>
      <w:r>
        <w:rPr>
          <w:rStyle w:val="SectionNumber"/>
        </w:rPr>
        <w:t xml:space="preserve">2.1.2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resources/images/week_02_files/figure-docx//1U1PiqeXG4XoKmg8hRFJqE1OFDOJfificBz1jLeDunHo_g257d7b8e795_0_78.png" id="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9" w:name="fig16"/>
      <w:r>
        <w:t xml:space="preserve">Figure </w:t>
      </w:r>
      <w:fldSimple w:instr="SEQ Figure \* ARABIC ">
        <w:r>
          <w:t>16</w:t>
        </w:r>
      </w:fldSimple>
      <w:r>
        <w:t xml:space="preserve">:</w:t>
      </w:r>
      <w:r>
        <w:t xml:space="preserve"> </w:t>
      </w:r>
      <w:bookmarkEnd w:id="89"/>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90"/>
    <w:bookmarkStart w:id="91" w:name="poisson-distribution"/>
    <w:p>
      <w:pPr>
        <w:pStyle w:val="Heading3"/>
      </w:pPr>
      <w:r>
        <w:rPr>
          <w:rStyle w:val="SectionNumber"/>
        </w:rPr>
        <w:t xml:space="preserve">2.1.3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w:t>
      </w:r>
    </w:p>
    <w:p>
      <w:pPr>
        <w:pStyle w:val="BodyText"/>
      </w:pPr>
      <m:oMathPara>
        <m:oMathParaPr>
          <m:jc m:val="center"/>
        </m:oMathParaPr>
        <m:oMath>
          <m:r>
            <m:t>P</m:t>
          </m:r>
          <m:d>
            <m:dPr>
              <m:begChr m:val="("/>
              <m:endChr m:val=")"/>
              <m:sepChr m:val=""/>
              <m:grow/>
            </m:dPr>
            <m:e>
              <m:r>
                <m:t>X</m:t>
              </m:r>
              <m:r>
                <m:rPr>
                  <m:sty m:val="p"/>
                </m:rPr>
                <m:t>=</m:t>
              </m:r>
              <m:r>
                <m:t>x</m:t>
              </m:r>
              <m:r>
                <m:rPr>
                  <m:sty m:val="p"/>
                </m:rPr>
                <m:t>;</m:t>
              </m:r>
              <m:r>
                <m:t>λ</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m:oMathPara>
    </w:p>
    <w:p>
      <w:pPr>
        <w:pStyle w:val="FirstParagraph"/>
      </w:pPr>
      <w:r>
        <w:t xml:space="preserve">where x represents non-negative integers (0, 1, 2, and so on).</w:t>
      </w:r>
      <w:r>
        <w:t xml:space="preserve"> </w:t>
      </w:r>
      <w:r>
        <w:t xml:space="preserve">The mean of a Poisson random variable is equal to</w:t>
      </w:r>
      <w:r>
        <w:t xml:space="preserve"> </w:t>
      </w:r>
      <m:oMath>
        <m:r>
          <m:t>λ</m:t>
        </m:r>
      </m:oMath>
      <w:r>
        <w:t xml:space="preserve">, and the variance also equals</w:t>
      </w:r>
      <w:r>
        <w:t xml:space="preserve"> </w:t>
      </w:r>
      <m:oMath>
        <m:r>
          <m:t>λ</m:t>
        </m:r>
      </m:oMath>
      <w:r>
        <w:t xml:space="preserve">. When modeling with Poisson data, the mean and variance must be equal a condition that can be verified if one has repeated Poisson data.</w:t>
      </w:r>
      <w:r>
        <w:t xml:space="preserve"> </w:t>
      </w:r>
      <w:r>
        <w:t xml:space="preserve">fig xxx poisson distribution</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Example: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SourceCode"/>
      </w:pPr>
      <w:r>
        <w:rPr>
          <w:rStyle w:val="FunctionTok"/>
        </w:rPr>
        <w:t xml:space="preserve">ppois</w:t>
      </w:r>
      <w:r>
        <w:rPr>
          <w:rStyle w:val="NormalTok"/>
        </w:rPr>
        <w:t xml:space="preserve">(</w:t>
      </w:r>
      <w:r>
        <w:rPr>
          <w:rStyle w:val="DecValTok"/>
        </w:rPr>
        <w:t xml:space="preserve">3</w:t>
      </w:r>
      <w:r>
        <w:rPr>
          <w:rStyle w:val="NormalTok"/>
        </w:rPr>
        <w:t xml:space="preserve">, </w:t>
      </w:r>
      <w:r>
        <w:rPr>
          <w:rStyle w:val="AttributeTok"/>
        </w:rPr>
        <w:t xml:space="preserve">lambda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p>
    <w:p>
      <w:pPr>
        <w:pStyle w:val="FirstParagraph"/>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w:t>
      </w:r>
      <w:r>
        <w:t xml:space="preserve"> </w:t>
      </w:r>
      <m:oMath>
        <m:r>
          <m:t>λ</m:t>
        </m:r>
        <m:r>
          <m:rPr>
            <m:sty m:val="p"/>
          </m:rPr>
          <m:t>=</m:t>
        </m:r>
        <m:r>
          <m:t>n</m:t>
        </m:r>
        <m:r>
          <m:rPr>
            <m:sty m:val="p"/>
          </m:rPr>
          <m:t>*</m:t>
        </m:r>
        <m:r>
          <m:t>p</m:t>
        </m:r>
      </m:oMath>
      <w:r>
        <w:t xml:space="preserve">. When n is large and p is small, it is proposed that the probability distribution governing x can be well approximated using Poisson probabilities, where the rate parameter λ is determined as n times p. </w:t>
      </w:r>
    </w:p>
    <w:p>
      <w:pPr>
        <w:pStyle w:val="BodyText"/>
      </w:pPr>
      <w:r>
        <w:t xml:space="preserve">Example: In flipping a coin with a success probability of 0.01 for a total of 500 times, we want to calculate the probability of obtaining two or fewer successes. Using the binomial distribution with size 500 and probability 0.01, we obtain approximately 12%. By employing the Poisson approximation with a rate of λ = 500 * 0.01, the result is around 12.5%, which is reasonably close to the binomial calculation.</w:t>
      </w:r>
    </w:p>
    <w:p>
      <w:pPr>
        <w:pStyle w:val="SourceCode"/>
      </w:pPr>
      <w:r>
        <w:rPr>
          <w:rStyle w:val="FunctionTok"/>
        </w:rPr>
        <w:t xml:space="preserve">pbinom</w:t>
      </w:r>
      <w:r>
        <w:rPr>
          <w:rStyle w:val="Normal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DecValTok"/>
        </w:rPr>
        <w:t xml:space="preserve">01</w:t>
      </w:r>
      <w:r>
        <w:rPr>
          <w:rStyle w:val="NormalTok"/>
        </w:rPr>
        <w:t xml:space="preserve">)</w:t>
      </w:r>
      <w:r>
        <w:br/>
      </w:r>
      <w:r>
        <w:rPr>
          <w:rStyle w:val="FunctionTok"/>
        </w:rPr>
        <w:t xml:space="preserve">ppois</w:t>
      </w:r>
      <w:r>
        <w:rPr>
          <w:rStyle w:val="NormalTok"/>
        </w:rPr>
        <w:t xml:space="preserve">(</w:t>
      </w:r>
      <w:r>
        <w:rPr>
          <w:rStyle w:val="DecValTok"/>
        </w:rPr>
        <w:t xml:space="preserve">2</w:t>
      </w:r>
      <w:r>
        <w:rPr>
          <w:rStyle w:val="NormalTok"/>
        </w:rPr>
        <w:t xml:space="preserve">, </w:t>
      </w:r>
      <w:r>
        <w:rPr>
          <w:rStyle w:val="AttributeTok"/>
        </w:rPr>
        <w:t xml:space="preserve">lambda=</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01</w:t>
      </w:r>
      <w:r>
        <w:rPr>
          <w:rStyle w:val="NormalTok"/>
        </w:rPr>
        <w:t xml:space="preserve">)</w:t>
      </w:r>
    </w:p>
    <w:bookmarkEnd w:id="91"/>
    <w:bookmarkEnd w:id="92"/>
    <w:bookmarkStart w:id="111" w:name="asymptotics"/>
    <w:p>
      <w:pPr>
        <w:pStyle w:val="Heading2"/>
      </w:pPr>
      <w:r>
        <w:rPr>
          <w:rStyle w:val="SectionNumber"/>
        </w:rPr>
        <w:t xml:space="preserve">2.2</w:t>
      </w:r>
      <w:r>
        <w:tab/>
      </w:r>
      <w:r>
        <w:t xml:space="preserve">Asymptotics</w:t>
      </w:r>
    </w:p>
    <w:p>
      <w:pPr>
        <w:pStyle w:val="FirstParagraph"/>
      </w:pP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w:t>
      </w:r>
      <w:r>
        <w:t xml:space="preserve"> </w:t>
      </w:r>
      <w:r>
        <w:rPr>
          <w:bCs/>
          <w:b/>
        </w:rPr>
        <w:t xml:space="preserve">Central Limit Theorem</w:t>
      </w:r>
      <w:r>
        <w:t xml:space="preserve">.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Here we will explore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 Asymptotics form the foundation for the frequency interpretation of probabilities. For instance, intuitively, we know that if we flip a coin and calculate the proportion of heads, it should approach 0.5 for a fair coin.</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CaptionedFigure"/>
      </w:pPr>
      <w:r>
        <w:drawing>
          <wp:inline>
            <wp:extent cx="5334000" cy="3000375"/>
            <wp:effectExtent b="0" l="0" r="0" t="0"/>
            <wp:docPr descr="Figure 2.2: Cumulative means of random normal variables" title="" id="1" name="Picture"/>
            <a:graphic>
              <a:graphicData uri="http://schemas.openxmlformats.org/drawingml/2006/picture">
                <pic:pic>
                  <pic:nvPicPr>
                    <pic:cNvPr descr="resources/images/week_02_files/figure-docx//1U1PiqeXG4XoKmg8hRFJqE1OFDOJfificBz1jLeDunHo_g257d7b8e795_0_95.png" id="0"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4" w:name="fig17"/>
      <w:r>
        <w:t xml:space="preserve">Figure </w:t>
      </w:r>
      <w:fldSimple w:instr="SEQ Figure \* ARABIC ">
        <w:r>
          <w:t>17</w:t>
        </w:r>
      </w:fldSimple>
      <w:r>
        <w:t xml:space="preserve">:</w:t>
      </w:r>
      <w:r>
        <w:t xml:space="preserve"> </w:t>
      </w:r>
      <w:bookmarkEnd w:id="94"/>
      <w:r>
        <w:t xml:space="preserve">Figure 2.2: Cumulative means of random normal variables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rPr>
          <w:rStyle w:val="NormalTok"/>
        </w:rPr>
        <w:t xml:space="preserve">; 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r>
        <w:t xml:space="preserve"> </w:t>
      </w:r>
      <w:r>
        <w:drawing>
          <wp:inline>
            <wp:extent cx="5334000" cy="3000375"/>
            <wp:effectExtent b="0" l="0" r="0" t="0"/>
            <wp:docPr descr="Figure 2.3: Cumulative means of coin flips" title="" id="1" name="Picture"/>
            <a:graphic>
              <a:graphicData uri="http://schemas.openxmlformats.org/drawingml/2006/picture">
                <pic:pic>
                  <pic:nvPicPr>
                    <pic:cNvPr descr="resources/images/week_02_files/figure-docx//1U1PiqeXG4XoKmg8hRFJqE1OFDOJfificBz1jLeDunHo_g257d7b8e795_0_98.pn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sample</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n ,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Note: An estimator is considered</w:t>
      </w:r>
      <w:r>
        <w:t xml:space="preserve"> </w:t>
      </w:r>
      <w:r>
        <w:rPr>
          <w:bCs/>
          <w:b/>
        </w:rPr>
        <w:t xml:space="preserve">consistent</w:t>
      </w:r>
      <w:r>
        <w:t xml:space="preserve"> </w:t>
      </w:r>
      <w:r>
        <w:t xml:space="preserve">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 Moreover, not only are sample means consistent estimators, but the sample variance and sample standard deviation of iid random variables are also consistent estimators.</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bookmarkStart w:id="100" w:name="asymptotics-and-the-clt"/>
    <w:p>
      <w:pPr>
        <w:pStyle w:val="Heading3"/>
      </w:pPr>
      <w:r>
        <w:rPr>
          <w:rStyle w:val="SectionNumber"/>
        </w:rPr>
        <w:t xml:space="preserve">2.2.1</w:t>
      </w:r>
      <w:r>
        <w:tab/>
      </w:r>
      <w:r>
        <w:t xml:space="preserve">Asymptotics and the CLT</w:t>
      </w:r>
    </w:p>
    <w:p>
      <w:pPr>
        <w:pStyle w:val="FirstParagraph"/>
      </w:pPr>
      <w:r>
        <w:t xml:space="preserve">The Central Limit Theorem (CLT)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w:t>
      </w:r>
      <w:r>
        <w:t xml:space="preserve"> </w:t>
      </w:r>
      <m:oMath>
        <m:acc>
          <m:accPr>
            <m:chr m:val="‾"/>
          </m:accPr>
          <m:e>
            <m:r>
              <m:t>X</m:t>
            </m:r>
          </m:e>
        </m:acc>
      </m:oMath>
      <w:r>
        <w:t xml:space="preserve">. If we subtract its population mean and divide by its standard error the resulting random variable approaches a standard normal distribution as the sample size increases.</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1"/>
                </m:radPr>
                <m:deg/>
                <m:e>
                  <m:r>
                    <m:t>n</m:t>
                  </m:r>
                </m:e>
              </m:rad>
            </m:den>
          </m:f>
          <m:r>
            <m:rPr>
              <m:sty m:val="p"/>
            </m:rPr>
            <m:t>=</m:t>
          </m:r>
          <m:f>
            <m:fPr>
              <m:type m:val="bar"/>
            </m:fPr>
            <m:num>
              <m:rad>
                <m:radPr>
                  <m:degHide m:val="1"/>
                </m:radPr>
                <m:deg/>
                <m:e>
                  <m:r>
                    <m:t>n</m:t>
                  </m:r>
                </m:e>
              </m:rad>
              <m:d>
                <m:dPr>
                  <m:begChr m:val="("/>
                  <m:endChr m:val=")"/>
                  <m:sepChr m:val=""/>
                  <m:grow/>
                </m:dPr>
                <m:e>
                  <m:acc>
                    <m:accPr>
                      <m:chr m:val="‾"/>
                    </m:accPr>
                    <m:e>
                      <m:sSub>
                        <m:e>
                          <m:r>
                            <m:t>X</m:t>
                          </m:r>
                        </m:e>
                        <m:sub>
                          <m:r>
                            <m:t>n</m:t>
                          </m:r>
                        </m:sub>
                      </m:sSub>
                    </m:e>
                  </m:acc>
                  <m:r>
                    <m:rPr>
                      <m:sty m:val="p"/>
                    </m:rPr>
                    <m:t>−</m:t>
                  </m:r>
                  <m:r>
                    <m:t>μ</m:t>
                  </m:r>
                </m:e>
              </m:d>
            </m:num>
            <m:den>
              <m:r>
                <m:t>σ</m:t>
              </m:r>
            </m:den>
          </m:f>
          <m:r>
            <m:rPr>
              <m:sty m:val="p"/>
            </m:rPr>
            <m:t>=</m:t>
          </m:r>
          <m:f>
            <m:fPr>
              <m:type m:val="bar"/>
            </m:fPr>
            <m:num>
              <m:r>
                <m:t>E</m:t>
              </m:r>
              <m:r>
                <m:t>s</m:t>
              </m:r>
              <m:r>
                <m:t>t</m:t>
              </m:r>
              <m:r>
                <m:t>i</m:t>
              </m:r>
              <m:r>
                <m:t>m</m:t>
              </m:r>
              <m:r>
                <m:t>a</m:t>
              </m:r>
              <m:r>
                <m:t>t</m:t>
              </m:r>
              <m:r>
                <m:t>e</m:t>
              </m:r>
              <m:r>
                <m:rPr>
                  <m:sty m:val="p"/>
                </m:rPr>
                <m:t>−</m:t>
              </m:r>
              <m:r>
                <m:t>M</m:t>
              </m:r>
              <m:r>
                <m:t>e</m:t>
              </m:r>
              <m:r>
                <m:t>a</m:t>
              </m:r>
              <m:r>
                <m:t>n</m:t>
              </m:r>
              <m:r>
                <m:t> </m:t>
              </m:r>
              <m:r>
                <m:t>o</m:t>
              </m:r>
              <m:r>
                <m:t>f</m:t>
              </m:r>
              <m:r>
                <m:t> </m:t>
              </m:r>
              <m:r>
                <m:t>e</m:t>
              </m:r>
              <m:r>
                <m:t>s</m:t>
              </m:r>
              <m:r>
                <m:t>t</m:t>
              </m:r>
              <m:r>
                <m:t>i</m:t>
              </m:r>
              <m:r>
                <m:t>m</m:t>
              </m:r>
              <m:r>
                <m:t>a</m:t>
              </m:r>
              <m:r>
                <m:t>t</m:t>
              </m:r>
              <m:r>
                <m:t>e</m:t>
              </m:r>
            </m:num>
            <m:den>
              <m:r>
                <m:t>S</m:t>
              </m:r>
              <m:r>
                <m:t>t</m:t>
              </m:r>
              <m:r>
                <m:t>d</m:t>
              </m:r>
              <m:r>
                <m:rPr>
                  <m:sty m:val="p"/>
                </m:rPr>
                <m:t>.</m:t>
              </m:r>
              <m:r>
                <m:t> </m:t>
              </m:r>
              <m:r>
                <m:t>E</m:t>
              </m:r>
              <m:r>
                <m:t>r</m:t>
              </m:r>
              <m:r>
                <m:t>r</m:t>
              </m:r>
              <m:r>
                <m:rPr>
                  <m:sty m:val="p"/>
                </m:rPr>
                <m:t>.</m:t>
              </m:r>
              <m:r>
                <m:t> </m:t>
              </m:r>
              <m:r>
                <m:t>o</m:t>
              </m:r>
              <m:r>
                <m:t>f</m:t>
              </m:r>
              <m:r>
                <m:t> </m:t>
              </m:r>
              <m:r>
                <m:t>e</m:t>
              </m:r>
              <m:r>
                <m:t>s</m:t>
              </m:r>
              <m:r>
                <m:t>t</m:t>
              </m:r>
              <m:r>
                <m:t>i</m:t>
              </m:r>
              <m:r>
                <m:t>m</m:t>
              </m:r>
              <m:r>
                <m:t>a</m:t>
              </m:r>
              <m:r>
                <m:t>t</m:t>
              </m:r>
              <m:r>
                <m:t>e</m:t>
              </m:r>
            </m:den>
          </m:f>
        </m:oMath>
      </m:oMathPara>
    </w:p>
    <w:p>
      <w:pPr>
        <w:pStyle w:val="FirstParagraph"/>
      </w:pPr>
      <w:r>
        <w:t xml:space="preserve">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w:t>
      </w:r>
    </w:p>
    <w:p>
      <w:pPr>
        <w:pStyle w:val="BodyText"/>
      </w:pPr>
      <w:r>
        <w:t xml:space="preserve">Example: Using standard die with the mean of 3.5, and variance of 2.92. We simulate the die roll n times, calculate the sample mean, subtract the population mean, and dividing by the standard error.</w:t>
      </w:r>
      <w:r>
        <w:t xml:space="preserve"> </w:t>
      </w:r>
      <w:r>
        <w:drawing>
          <wp:inline>
            <wp:extent cx="5334000" cy="3000375"/>
            <wp:effectExtent b="0" l="0" r="0" t="0"/>
            <wp:docPr descr="Figure 2.4: Distribution of averages of iid random variables in die roll" title="" id="1" name="Picture"/>
            <a:graphic>
              <a:graphicData uri="http://schemas.openxmlformats.org/drawingml/2006/picture">
                <pic:pic>
                  <pic:nvPicPr>
                    <pic:cNvPr descr="resources/images/week_02_files/figure-docx//1U1PiqeXG4XoKmg8hRFJqE1OFDOJfificBz1jLeDunHo_g257d7b8e795_0_101.png" id="0"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FloatTok"/>
        </w:rPr>
        <w:t xml:space="preserve">1.71</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The distribution approximates a bell curve. As we increase the number of rolls, the approximation improves.</w:t>
      </w:r>
    </w:p>
    <w:p>
      <w:pPr>
        <w:pStyle w:val="BodyText"/>
      </w:pPr>
      <w:r>
        <w:t xml:space="preserve">Example: Let</w:t>
      </w:r>
      <w:r>
        <w:t xml:space="preserve"> </w:t>
      </w:r>
      <m:oMath>
        <m:sSub>
          <m:e>
            <m:r>
              <m:t>X</m:t>
            </m:r>
          </m:e>
          <m:sub>
            <m:r>
              <m:t>i</m:t>
            </m:r>
          </m:sub>
        </m:sSub>
      </m:oMath>
      <w:r>
        <w:t xml:space="preserve"> </w:t>
      </w:r>
      <w:r>
        <w:t xml:space="preserve">be the</w:t>
      </w:r>
      <w:r>
        <w:t xml:space="preserve"> </w:t>
      </w:r>
      <m:oMath>
        <m:r>
          <m:t>0</m:t>
        </m:r>
      </m:oMath>
      <w:r>
        <w:t xml:space="preserve"> </w:t>
      </w:r>
      <w:r>
        <w:t xml:space="preserve">or</w:t>
      </w:r>
      <w:r>
        <w:t xml:space="preserve"> </w:t>
      </w:r>
      <m:oMath>
        <m:r>
          <m:t>1</m:t>
        </m:r>
      </m:oMath>
      <w:r>
        <w:t xml:space="preserve"> </w:t>
      </w:r>
      <w:r>
        <w:t xml:space="preserve">result of the</w:t>
      </w:r>
      <w:r>
        <w:t xml:space="preserve"> </w:t>
      </w:r>
      <m:oMath>
        <m:sSup>
          <m:e>
            <m:r>
              <m:t>i</m:t>
            </m:r>
          </m:e>
          <m:sup>
            <m:r>
              <m:t>t</m:t>
            </m:r>
            <m:r>
              <m:t>h</m:t>
            </m:r>
          </m:sup>
        </m:sSup>
      </m:oMath>
      <w:r>
        <w:t xml:space="preserve"> </w:t>
      </w:r>
      <w:r>
        <w:t xml:space="preserve">flip of a possibly unfair coin. The sample proportion, say</w:t>
      </w:r>
      <w:r>
        <w:t xml:space="preserve"> </w:t>
      </w:r>
      <m:oMath>
        <m:acc>
          <m:accPr>
            <m:chr m:val="̂"/>
          </m:accPr>
          <m:e>
            <m:r>
              <m:t>p</m:t>
            </m:r>
          </m:e>
        </m:acc>
      </m:oMath>
      <w:r>
        <w:t xml:space="preserve">, is the average of the coin flips.</w:t>
      </w:r>
      <w:r>
        <w:t xml:space="preserve"> </w:t>
      </w:r>
      <m:oMath>
        <m:r>
          <m:t>E</m:t>
        </m:r>
        <m:d>
          <m:dPr>
            <m:begChr m:val="["/>
            <m:endChr m:val="]"/>
            <m:sepChr m:val=""/>
            <m:grow/>
          </m:dPr>
          <m:e>
            <m:sSub>
              <m:e>
                <m:r>
                  <m:t>X</m:t>
                </m:r>
              </m:e>
              <m:sub>
                <m:r>
                  <m:t>i</m:t>
                </m:r>
              </m:sub>
            </m:sSub>
          </m:e>
        </m:d>
        <m:r>
          <m:rPr>
            <m:sty m:val="p"/>
          </m:rPr>
          <m:t>=</m:t>
        </m:r>
        <m:r>
          <m:t>p</m:t>
        </m:r>
      </m:oMath>
      <w:r>
        <w:t xml:space="preserve"> </w:t>
      </w:r>
      <w:r>
        <w:t xml:space="preserve">and</w:t>
      </w:r>
      <w:r>
        <w:t xml:space="preserve"> </w:t>
      </w:r>
      <m:oMath>
        <m:r>
          <m:t>V</m:t>
        </m:r>
        <m:r>
          <m:t>a</m:t>
        </m:r>
        <m:r>
          <m:t>r</m:t>
        </m:r>
        <m:d>
          <m:dPr>
            <m:begChr m:val="("/>
            <m:endChr m:val=")"/>
            <m:sepChr m:val=""/>
            <m:grow/>
          </m:dPr>
          <m:e>
            <m:sSub>
              <m:e>
                <m:r>
                  <m:t>X</m:t>
                </m:r>
              </m:e>
              <m:sub>
                <m:r>
                  <m:t>i</m:t>
                </m:r>
              </m:sub>
            </m:sSub>
          </m:e>
        </m:d>
        <m:r>
          <m:rPr>
            <m:sty m:val="p"/>
          </m:rPr>
          <m:t>=</m:t>
        </m:r>
        <m:r>
          <m:t>p</m:t>
        </m:r>
        <m:d>
          <m:dPr>
            <m:begChr m:val="("/>
            <m:endChr m:val=")"/>
            <m:sepChr m:val=""/>
            <m:grow/>
          </m:dPr>
          <m:e>
            <m:r>
              <m:t>1</m:t>
            </m:r>
            <m:r>
              <m:rPr>
                <m:sty m:val="p"/>
              </m:rPr>
              <m:t>−</m:t>
            </m:r>
            <m:r>
              <m:t>p</m:t>
            </m:r>
          </m:e>
        </m:d>
      </m:oMath>
      <w:r>
        <w:t xml:space="preserve"> </w:t>
      </w:r>
      <w:r>
        <w:t xml:space="preserve">Standard error of the mean is</w:t>
      </w:r>
      <w:r>
        <w:t xml:space="preserve"> </w:t>
      </w:r>
      <m:oMath>
        <m:rad>
          <m:radPr>
            <m:degHide m:val="1"/>
          </m:radPr>
          <m:deg/>
          <m:e>
            <m:r>
              <m:t>p</m:t>
            </m:r>
            <m:d>
              <m:dPr>
                <m:begChr m:val="("/>
                <m:endChr m:val=")"/>
                <m:sepChr m:val=""/>
                <m:grow/>
              </m:dPr>
              <m:e>
                <m:r>
                  <m:t>1</m:t>
                </m:r>
                <m:r>
                  <m:rPr>
                    <m:sty m:val="p"/>
                  </m:rPr>
                  <m:t>−</m:t>
                </m:r>
                <m:r>
                  <m:t>p</m:t>
                </m:r>
              </m:e>
            </m:d>
            <m:r>
              <m:rPr>
                <m:sty m:val="p"/>
              </m:rPr>
              <m:t>/</m:t>
            </m:r>
            <m:r>
              <m:t>n</m:t>
            </m:r>
          </m:e>
        </m:rad>
      </m:oMath>
      <w:r>
        <w:t xml:space="preserve"> </w:t>
      </w:r>
      <w:r>
        <w:t xml:space="preserve">Then</w:t>
      </w:r>
    </w:p>
    <w:p>
      <w:pPr>
        <w:pStyle w:val="BodyText"/>
      </w:pPr>
      <m:oMathPara>
        <m:oMathParaPr>
          <m:jc m:val="center"/>
        </m:oMathParaPr>
        <m:oMath>
          <m:f>
            <m:fPr>
              <m:type m:val="bar"/>
            </m:fPr>
            <m:num>
              <m:acc>
                <m:accPr>
                  <m:chr m:val="̂"/>
                </m:accPr>
                <m:e>
                  <m:r>
                    <m:t>p</m:t>
                  </m:r>
                </m:e>
              </m:acc>
              <m:r>
                <m:rPr>
                  <m:sty m:val="p"/>
                </m:rPr>
                <m:t>−</m:t>
              </m:r>
              <m:r>
                <m:t>p</m:t>
              </m:r>
            </m:num>
            <m:den>
              <m:rad>
                <m:radPr>
                  <m:degHide m:val="1"/>
                </m:radPr>
                <m:deg/>
                <m:e>
                  <m:r>
                    <m:t>p</m:t>
                  </m:r>
                  <m:d>
                    <m:dPr>
                      <m:begChr m:val="("/>
                      <m:endChr m:val=")"/>
                      <m:sepChr m:val=""/>
                      <m:grow/>
                    </m:dPr>
                    <m:e>
                      <m:r>
                        <m:t>1</m:t>
                      </m:r>
                      <m:r>
                        <m:rPr>
                          <m:sty m:val="p"/>
                        </m:rPr>
                        <m:t>−</m:t>
                      </m:r>
                      <m:r>
                        <m:t>p</m:t>
                      </m:r>
                    </m:e>
                  </m:d>
                  <m:r>
                    <m:rPr>
                      <m:sty m:val="p"/>
                    </m:rPr>
                    <m:t>/</m:t>
                  </m:r>
                  <m:r>
                    <m:t>n</m:t>
                  </m:r>
                </m:e>
              </m:rad>
            </m:den>
          </m:f>
        </m:oMath>
      </m:oMathPara>
    </w:p>
    <w:p>
      <w:pPr>
        <w:pStyle w:val="FirstParagraph"/>
      </w:pPr>
      <w:r>
        <w:t xml:space="preserve">will be approximately normally distributed</w:t>
      </w:r>
    </w:p>
    <w:p>
      <w:pPr>
        <w:pStyle w:val="BodyText"/>
      </w:pPr>
      <w:r>
        <w:t xml:space="preserve">Flipping a fair coin</w:t>
      </w:r>
      <w:r>
        <w:t xml:space="preserve"> </w:t>
      </w:r>
      <m:oMath>
        <m:r>
          <m:t>n</m:t>
        </m:r>
      </m:oMath>
      <w:r>
        <w:t xml:space="preserve"> </w:t>
      </w:r>
      <w:r>
        <w:t xml:space="preserve">times, taking the sample proportion of heads, subtracting off 0.5 and multiply the result by</w:t>
      </w:r>
      <w:r>
        <w:t xml:space="preserve"> </w:t>
      </w:r>
      <m:oMath>
        <m:r>
          <m:t>2</m:t>
        </m:r>
        <m:rad>
          <m:radPr>
            <m:degHide m:val="1"/>
          </m:radPr>
          <m:deg/>
          <m:e>
            <m:r>
              <m:t>n</m:t>
            </m:r>
          </m:e>
        </m:rad>
      </m:oMath>
      <w:r>
        <w:t xml:space="preserve"> </w:t>
      </w:r>
      <w:r>
        <w:t xml:space="preserve">divide by</w:t>
      </w:r>
      <w:r>
        <w:t xml:space="preserve"> </w:t>
      </w:r>
      <m:oMath>
        <m:r>
          <m:t>1</m:t>
        </m:r>
        <m:r>
          <m:rPr>
            <m:sty m:val="p"/>
          </m:rPr>
          <m:t>/</m:t>
        </m:r>
        <m:d>
          <m:dPr>
            <m:begChr m:val="("/>
            <m:endChr m:val=")"/>
            <m:sepChr m:val=""/>
            <m:grow/>
          </m:dPr>
          <m:e>
            <m:r>
              <m:t>2</m:t>
            </m:r>
            <m:rad>
              <m:radPr>
                <m:degHide m:val="1"/>
              </m:radPr>
              <m:deg/>
              <m:e>
                <m:r>
                  <m:t>n</m:t>
                </m:r>
              </m:e>
            </m:rad>
          </m:e>
        </m:d>
      </m:oMath>
      <w:r>
        <w:t xml:space="preserve"> </w:t>
      </w:r>
      <w:r>
        <w:t xml:space="preserve">is displayed below.</w:t>
      </w:r>
    </w:p>
    <w:p>
      <w:pPr>
        <w:pStyle w:val="CaptionedFigure"/>
      </w:pPr>
      <w:r>
        <w:drawing>
          <wp:inline>
            <wp:extent cx="5334000" cy="3000375"/>
            <wp:effectExtent b="0" l="0" r="0" t="0"/>
            <wp:docPr descr="Figure 2.5: Distribution of averages of iid random variables in coin flip" title="" id="1" name="Picture"/>
            <a:graphic>
              <a:graphicData uri="http://schemas.openxmlformats.org/drawingml/2006/picture">
                <pic:pic>
                  <pic:nvPicPr>
                    <pic:cNvPr descr="resources/images/week_02_files/figure-docx//1U1PiqeXG4XoKmg8hRFJqE1OFDOJfificBz1jLeDunHo_g257d7b8e795_0_104.png" id="0"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8" w:name="fig18"/>
      <w:r>
        <w:t xml:space="preserve">Figure </w:t>
      </w:r>
      <w:fldSimple w:instr="SEQ Figure \* ARABIC ">
        <w:r>
          <w:t>18</w:t>
        </w:r>
      </w:fldSimple>
      <w:r>
        <w:t xml:space="preserve">:</w:t>
      </w:r>
      <w:r>
        <w:t xml:space="preserve"> </w:t>
      </w:r>
      <w:bookmarkEnd w:id="98"/>
      <w:r>
        <w:t xml:space="preserve">Figure 2.5: Distribution of averages of iid random variables in coin flip</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Taking the result of each flip (0 or 1) as an iid random variable, we calculate the sample proportion of heads</w:t>
      </w:r>
      <w:r>
        <w:t xml:space="preserve"> </w:t>
      </w:r>
      <m:oMath>
        <m:acc>
          <m:accPr>
            <m:chr m:val="̂"/>
          </m:accPr>
          <m:e>
            <m:r>
              <m:t>p</m:t>
            </m:r>
          </m:e>
        </m:acc>
      </m:oMath>
      <w:r>
        <w:t xml:space="preserve">.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example, let’s discuss Galton’s quincunx. This machine, often found in science museums, visually demonstrates the Central Limit Theorem using a game resembling Pachinko.</w:t>
      </w:r>
      <w:r>
        <w:t xml:space="preserve"> </w:t>
      </w:r>
      <w:hyperlink r:id="rId99">
        <w:r>
          <w:rPr>
            <w:rStyle w:val="Hyperlink"/>
          </w:rPr>
          <w:t xml:space="preserve">An image from Wikipedia showing Galton’s quincunx</w:t>
        </w:r>
      </w:hyperlink>
      <w:r>
        <w:t xml:space="preserve">.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100"/>
    <w:bookmarkStart w:id="110" w:name="asymptotics-and-confidence-intervals"/>
    <w:p>
      <w:pPr>
        <w:pStyle w:val="Heading3"/>
      </w:pPr>
      <w:r>
        <w:rPr>
          <w:rStyle w:val="SectionNumber"/>
        </w:rPr>
        <w:t xml:space="preserve">2.2.2</w:t>
      </w:r>
      <w:r>
        <w:tab/>
      </w:r>
      <w:r>
        <w:t xml:space="preserve">Asymptotics and confidence intervals</w:t>
      </w:r>
    </w:p>
    <w:p>
      <w:pPr>
        <w:pStyle w:val="FirstParagraph"/>
      </w:pPr>
      <w:r>
        <w:t xml:space="preserve">The central limit theorem tells us that the sample mean follows an approximately normal distribution with a population mean of μ and a standard deviation of</w:t>
      </w:r>
      <w:r>
        <w:t xml:space="preserve"> </w:t>
      </w:r>
      <m:oMath>
        <m:r>
          <m:t>σ</m:t>
        </m:r>
        <m:r>
          <m:rPr>
            <m:sty m:val="p"/>
          </m:rPr>
          <m:t>/</m:t>
        </m:r>
        <m:rad>
          <m:radPr>
            <m:degHide m:val="1"/>
          </m:radPr>
          <m:deg/>
          <m:e>
            <m:r>
              <m:t>n</m:t>
            </m:r>
          </m:e>
        </m:rad>
      </m:oMath>
      <w:r>
        <w:t xml:space="preserve">. This distribution allows us to make inferences about the population mean based on sample data. When considering the distribution, we observe that</w:t>
      </w:r>
      <w:r>
        <w:t xml:space="preserve"> </w:t>
      </w:r>
      <m:oMath>
        <m:r>
          <m:t>μ</m:t>
        </m:r>
        <m:r>
          <m:rPr>
            <m:sty m:val="p"/>
          </m:rPr>
          <m:t>+</m:t>
        </m:r>
        <m:r>
          <m:t>2</m:t>
        </m:r>
      </m:oMath>
      <w:r>
        <w:t xml:space="preserve"> </w:t>
      </w:r>
      <w:r>
        <w:t xml:space="preserve">standard errors is quite far out in the tail, with only a 2.5% chance of a normal value being larger than two standard deviations in the tail. Similarly,</w:t>
      </w:r>
      <w:r>
        <w:t xml:space="preserve"> </w:t>
      </w:r>
      <m:oMath>
        <m:r>
          <m:t>μ</m:t>
        </m:r>
        <m:r>
          <m:rPr>
            <m:sty m:val="p"/>
          </m:rPr>
          <m:t>−</m:t>
        </m:r>
        <m:r>
          <m:t>2</m:t>
        </m:r>
      </m:oMath>
      <w:r>
        <w:t xml:space="preserve"> </w:t>
      </w:r>
      <w:r>
        <w:t xml:space="preserve">standard errors is far in the left tail, with only a 2.5% chance of a normal value being smaller than two standard deviations in the left tail. Therefore, the probability that the sample mean</w:t>
      </w:r>
      <w:r>
        <w:t xml:space="preserve"> </w:t>
      </w:r>
      <m:oMath>
        <m:acc>
          <m:accPr>
            <m:chr m:val="‾"/>
          </m:accPr>
          <m:e>
            <m:r>
              <m:t>X</m:t>
            </m:r>
          </m:e>
        </m:acc>
      </m:oMath>
      <w:r>
        <w:t xml:space="preserve"> </w:t>
      </w:r>
      <w:r>
        <w:t xml:space="preserve">is greater than</w:t>
      </w:r>
      <w:r>
        <w:t xml:space="preserve"> </w:t>
      </w:r>
      <m:oMath>
        <m:r>
          <m:t>μ</m:t>
        </m:r>
        <m:r>
          <m:rPr>
            <m:sty m:val="p"/>
          </m:rPr>
          <m:t>+</m:t>
        </m:r>
        <m:r>
          <m:t>2</m:t>
        </m:r>
      </m:oMath>
      <w:r>
        <w:t xml:space="preserve"> </w:t>
      </w:r>
      <w:r>
        <w:t xml:space="preserve">standard errors or smaller than</w:t>
      </w:r>
      <w:r>
        <w:t xml:space="preserve"> </w:t>
      </w:r>
      <m:oMath>
        <m:r>
          <m:t>μ</m:t>
        </m:r>
        <m:r>
          <m:rPr>
            <m:sty m:val="p"/>
          </m:rPr>
          <m:t>−</m:t>
        </m:r>
        <m:r>
          <m:t>2</m:t>
        </m:r>
      </m:oMath>
      <w:r>
        <w:t xml:space="preserve"> </w:t>
      </w:r>
      <w:r>
        <w:t xml:space="preserve">standard errors is 5%. Equivalently, the probability that μ is between these limits is 95%. By reversing the roles of</w:t>
      </w:r>
      <w:r>
        <w:t xml:space="preserve"> </w:t>
      </w:r>
      <m:oMath>
        <m:acc>
          <m:accPr>
            <m:chr m:val="‾"/>
          </m:accPr>
          <m:e>
            <m:r>
              <m:t>X</m:t>
            </m:r>
          </m:e>
        </m:acc>
      </m:oMath>
      <w:r>
        <w:t xml:space="preserve"> </w:t>
      </w:r>
      <w:r>
        <w:t xml:space="preserve">and μ, we can conclude that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contains μ with a probability of 95%.</w:t>
      </w:r>
    </w:p>
    <w:p>
      <w:pPr>
        <w:pStyle w:val="BodyText"/>
      </w:pPr>
      <w:r>
        <w:t xml:space="preserve">It’s important to note that in this interpretation, we treat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Example: Using the father-son data from the</w:t>
      </w:r>
      <w:r>
        <w:t xml:space="preserve"> </w:t>
      </w:r>
      <w:r>
        <w:t xml:space="preserve">“</w:t>
      </w:r>
      <w:r>
        <w:t xml:space="preserve">Using R</w:t>
      </w:r>
      <w:r>
        <w:t xml:space="preserve">”</w:t>
      </w:r>
      <w:r>
        <w:t xml:space="preserve"> </w:t>
      </w:r>
      <w:r>
        <w:t xml:space="preserve">package we want to estimate the average height of sons</w:t>
      </w:r>
      <w:r>
        <w:t xml:space="preserve"> </w:t>
      </w:r>
      <m:oMath>
        <m:acc>
          <m:accPr>
            <m:chr m:val="‾"/>
          </m:accPr>
          <m:e>
            <m:r>
              <m:t>X</m:t>
            </m:r>
          </m:e>
        </m:acc>
      </m:oMath>
      <w:r>
        <w:t xml:space="preserve">. We can calculate the mean of the sample plus or minus the 0.975th normal quantile times the standard error of the mean.</w:t>
      </w:r>
    </w:p>
    <w:p>
      <w:pPr>
        <w:pStyle w:val="SourceCode"/>
      </w:pPr>
      <w:r>
        <w:rPr>
          <w:rStyle w:val="FunctionTok"/>
        </w:rPr>
        <w:t xml:space="preserve">library</w:t>
      </w:r>
      <w:r>
        <w:rPr>
          <w:rStyle w:val="NormalTok"/>
        </w:rPr>
        <w:t xml:space="preserve">(UsingR);</w:t>
      </w:r>
      <w:r>
        <w:rPr>
          <w:rStyle w:val="FunctionTok"/>
        </w:rPr>
        <w:t xml:space="preserve">data</w:t>
      </w:r>
      <w:r>
        <w:rPr>
          <w:rStyle w:val="NormalTok"/>
        </w:rPr>
        <w:t xml:space="preserve">(father.son); 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12</w:t>
      </w:r>
    </w:p>
    <w:p>
      <w:pPr>
        <w:pStyle w:val="FirstParagraph"/>
      </w:pPr>
      <w:r>
        <w:t xml:space="preserve">Dividing by 12 ensures that our confidence interval is in feet rather than inches. If we obtain a confidence interval of 5.710 to 5.738, we can say that if the sons’ height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w:t>
      </w:r>
      <w:r>
        <w:t xml:space="preserve"> </w:t>
      </w:r>
      <m:oMath>
        <m:r>
          <m:t>p</m:t>
        </m:r>
      </m:oMath>
      <w:r>
        <w:t xml:space="preserve"> </w:t>
      </w:r>
      <w:r>
        <w:t xml:space="preserve">of the coin. Each observation</w:t>
      </w:r>
      <w:r>
        <w:t xml:space="preserve"> </w:t>
      </w:r>
      <m:oMath>
        <m:sSub>
          <m:e>
            <m:r>
              <m:t>X</m:t>
            </m:r>
          </m:e>
          <m:sub>
            <m:r>
              <m:t>i</m:t>
            </m:r>
          </m:sub>
        </m:sSub>
      </m:oMath>
      <w:r>
        <w:t xml:space="preserve"> </w:t>
      </w:r>
      <w:r>
        <w:t xml:space="preserve">in this case is either 0 or 1, with a common success probability</w:t>
      </w:r>
      <w:r>
        <w:t xml:space="preserve"> </w:t>
      </w:r>
      <m:oMath>
        <m:r>
          <m:t>p</m:t>
        </m:r>
      </m:oMath>
      <w:r>
        <w:t xml:space="preserve">. The variance of a coin flip is</w:t>
      </w:r>
      <w:r>
        <w:t xml:space="preserve"> </w:t>
      </w:r>
      <m:oMath>
        <m:r>
          <m:t>p</m:t>
        </m:r>
        <m:r>
          <m:rPr>
            <m:sty m:val="p"/>
          </m:rPr>
          <m:t>*</m:t>
        </m:r>
        <m:d>
          <m:dPr>
            <m:begChr m:val="("/>
            <m:endChr m:val=")"/>
            <m:sepChr m:val=""/>
            <m:grow/>
          </m:dPr>
          <m:e>
            <m:r>
              <m:t>1</m:t>
            </m:r>
            <m:r>
              <m:rPr>
                <m:sty m:val="p"/>
              </m:rPr>
              <m:t>−</m:t>
            </m:r>
            <m:r>
              <m:t>p</m:t>
            </m:r>
          </m:e>
        </m:d>
      </m:oMath>
      <w:r>
        <w:t xml:space="preserve">, where p is the true success probability of the coin. The standard error of the mean is then:</w:t>
      </w:r>
    </w:p>
    <w:p>
      <w:pPr>
        <w:pStyle w:val="BodyText"/>
      </w:pPr>
      <m:oMathPara>
        <m:oMathParaPr>
          <m:jc m:val="center"/>
        </m:oMathParaPr>
        <m:oMath>
          <m:acc>
            <m:accPr>
              <m:chr m:val="̂"/>
            </m:accPr>
            <m:e>
              <m:r>
                <m:t>p</m:t>
              </m:r>
            </m:e>
          </m:acc>
          <m:r>
            <m:rPr>
              <m:sty m:val="p"/>
            </m:rPr>
            <m:t>±</m:t>
          </m:r>
          <m:sSub>
            <m:e>
              <m:r>
                <m:t>z</m:t>
              </m:r>
            </m:e>
            <m:sub>
              <m:r>
                <m:t>1</m:t>
              </m:r>
              <m:r>
                <m:rPr>
                  <m:sty m:val="p"/>
                </m:rPr>
                <m:t>−</m:t>
              </m:r>
              <m:r>
                <m:t>α</m:t>
              </m:r>
              <m:r>
                <m:rPr>
                  <m:sty m:val="p"/>
                </m:rPr>
                <m:t>/</m:t>
              </m:r>
              <m:r>
                <m:t>2</m:t>
              </m:r>
            </m:sub>
          </m:sSub>
          <m:rad>
            <m:radPr>
              <m:degHide m:val="1"/>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Since we don’t know the true value of</w:t>
      </w:r>
      <w:r>
        <w:t xml:space="preserve"> </w:t>
      </w:r>
      <m:oMath>
        <m:r>
          <m:t>p</m:t>
        </m:r>
      </m:oMath>
      <w:r>
        <w:t xml:space="preserve">, we replace it with the estimated value</w:t>
      </w:r>
      <w:r>
        <w:t xml:space="preserve"> </w:t>
      </w:r>
      <m:oMath>
        <m:acc>
          <m:accPr>
            <m:chr m:val="̂"/>
          </m:accPr>
          <m:e>
            <m:r>
              <m:t>p</m:t>
            </m:r>
          </m:e>
        </m:acc>
      </m:oMath>
      <w:r>
        <w:t xml:space="preserve">. This type of confidence interval is known as the</w:t>
      </w:r>
      <w:r>
        <w:t xml:space="preserve"> </w:t>
      </w:r>
      <w:r>
        <w:rPr>
          <w:bCs/>
          <w:b/>
        </w:rPr>
        <w:t xml:space="preserve">Wald confidence interval</w:t>
      </w:r>
      <w:r>
        <w:t xml:space="preserve">, named after the statistician Wald. When p equals 0.5, the variance</w:t>
      </w:r>
      <w:r>
        <w:t xml:space="preserve"> </w:t>
      </w:r>
      <m:oMath>
        <m:r>
          <m:t>p</m:t>
        </m:r>
        <m:d>
          <m:dPr>
            <m:begChr m:val="("/>
            <m:endChr m:val=")"/>
            <m:sepChr m:val=""/>
            <m:grow/>
          </m:dPr>
          <m:e>
            <m:r>
              <m:t>1</m:t>
            </m:r>
            <m:r>
              <m:rPr>
                <m:sty m:val="p"/>
              </m:rPr>
              <m:t>−</m:t>
            </m:r>
            <m:r>
              <m:t>p</m:t>
            </m:r>
          </m:e>
        </m:d>
      </m:oMath>
      <w:r>
        <w:t xml:space="preserve"> </w:t>
      </w:r>
      <w:r>
        <w:t xml:space="preserve">is maximized, resulting in a standard error of 0.5. Multiplying it by 2 in the 95% interval cancels out, leaving the following expression for a 95% confidence interval, which is a quick estimate for p:</w:t>
      </w:r>
    </w:p>
    <w:p>
      <w:pPr>
        <w:pStyle w:val="BodyText"/>
      </w:pPr>
      <m:oMathPara>
        <m:oMathParaPr>
          <m:jc m:val="center"/>
        </m:oMathParaPr>
        <m:oMath>
          <m:acc>
            <m:accPr>
              <m:chr m:val="̂"/>
            </m:accPr>
            <m:e>
              <m:r>
                <m:t>p</m:t>
              </m:r>
            </m:e>
          </m:acc>
          <m:r>
            <m:rPr>
              <m:sty m:val="p"/>
            </m:rPr>
            <m:t>±</m:t>
          </m:r>
          <m:r>
            <m:t>1</m:t>
          </m:r>
          <m:r>
            <m:rPr>
              <m:sty m:val="p"/>
            </m:rPr>
            <m:t>/</m:t>
          </m:r>
          <m:rad>
            <m:radPr>
              <m:degHide m:val="1"/>
            </m:radPr>
            <m:deg/>
            <m:e>
              <m:r>
                <m:t>n</m:t>
              </m:r>
            </m:e>
          </m:rad>
        </m:oMath>
      </m:oMathPara>
    </w:p>
    <w:p>
      <w:pPr>
        <w:pStyle w:val="FirstParagraph"/>
      </w:pPr>
      <w:r>
        <w:t xml:space="preserve">Example: Imaging you are running for political office, and in a random sample of 100 likely voters, 56 intend to vote for you. To determine if you can relax or if you need to campaign more, you can use a quick calculation.</w:t>
      </w:r>
    </w:p>
    <w:p>
      <w:pPr>
        <w:pStyle w:val="BodyText"/>
      </w:pPr>
      <w:r>
        <w:t xml:space="preserve">With the information from the sample you can with with probability of 0.56 taking</w:t>
      </w:r>
      <w:r>
        <w:t xml:space="preserve"> </w:t>
      </w:r>
      <m:oMath>
        <m:f>
          <m:fPr>
            <m:type m:val="bar"/>
          </m:fPr>
          <m:num>
            <m:r>
              <m:t>1</m:t>
            </m:r>
          </m:num>
          <m:den>
            <m:rad>
              <m:radPr>
                <m:degHide m:val="1"/>
              </m:radPr>
              <m:deg/>
              <m:e>
                <m:r>
                  <m:t>100</m:t>
                </m:r>
              </m:e>
            </m:rad>
          </m:den>
        </m:f>
        <m:r>
          <m:rPr>
            <m:sty m:val="p"/>
          </m:rPr>
          <m:t>=</m:t>
        </m:r>
        <m:r>
          <m:t>0.1</m:t>
        </m:r>
      </m:oMath>
      <w:r>
        <w:t xml:space="preserve"> </w:t>
      </w:r>
      <w:r>
        <w:t xml:space="preserve">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we repeatedly flip a coin with a known success probability. The goal is to calculate the percentage of times that the confidence interval covers the true probability. In each simulation, we flip the coin 20 times and vary the true success probability between 0.1 and 0.9 in steps of 0.05. We conduct 1,000 simulations for each true success probability.</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pvals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05</w:t>
      </w:r>
      <w:r>
        <w:rPr>
          <w:rStyle w:val="NormalTok"/>
        </w:rPr>
        <w:t xml:space="preserve">); nosim </w:t>
      </w:r>
      <w:r>
        <w:rPr>
          <w:rStyle w:val="OtherTok"/>
        </w:rPr>
        <w:t xml:space="preserve">&lt;-</w:t>
      </w:r>
      <w:r>
        <w:rPr>
          <w:rStyle w:val="NormalTok"/>
        </w:rPr>
        <w:t xml:space="preserve"> </w:t>
      </w:r>
      <w:r>
        <w:rPr>
          <w:rStyle w:val="DecValTok"/>
        </w:rPr>
        <w:t xml:space="preserve">1000</w:t>
      </w:r>
      <w:r>
        <w:br/>
      </w:r>
      <w:r>
        <w:rPr>
          <w:rStyle w:val="NormalTok"/>
        </w:rPr>
        <w:t xml:space="preserve">coverage </w:t>
      </w:r>
      <w:r>
        <w:rPr>
          <w:rStyle w:val="OtherTok"/>
        </w:rPr>
        <w:t xml:space="preserve">&lt;-</w:t>
      </w:r>
      <w:r>
        <w:rPr>
          <w:rStyle w:val="NormalTok"/>
        </w:rPr>
        <w:t xml:space="preserve"> </w:t>
      </w:r>
      <w:r>
        <w:rPr>
          <w:rStyle w:val="FunctionTok"/>
        </w:rPr>
        <w:t xml:space="preserve">sapply</w:t>
      </w:r>
      <w:r>
        <w:rPr>
          <w:rStyle w:val="NormalTok"/>
        </w:rPr>
        <w:t xml:space="preserve">(pvals, </w:t>
      </w:r>
      <w:r>
        <w:rPr>
          <w:rStyle w:val="ControlFlowTok"/>
        </w:rPr>
        <w:t xml:space="preserve">function</w:t>
      </w:r>
      <w:r>
        <w:rPr>
          <w:rStyle w:val="NormalTok"/>
        </w:rPr>
        <w:t xml:space="preserve">(p){</w:t>
      </w:r>
      <w:r>
        <w:br/>
      </w:r>
      <w:r>
        <w:rPr>
          <w:rStyle w:val="NormalTok"/>
        </w:rPr>
        <w:t xml:space="preserve">  phats </w:t>
      </w:r>
      <w:r>
        <w:rPr>
          <w:rStyle w:val="OtherTok"/>
        </w:rPr>
        <w:t xml:space="preserve">&lt;-</w:t>
      </w:r>
      <w:r>
        <w:rPr>
          <w:rStyle w:val="NormalTok"/>
        </w:rPr>
        <w:t xml:space="preserve"> </w:t>
      </w:r>
      <w:r>
        <w:rPr>
          <w:rStyle w:val="FunctionTok"/>
        </w:rPr>
        <w:t xml:space="preserve">rbinom</w:t>
      </w:r>
      <w:r>
        <w:rPr>
          <w:rStyle w:val="NormalTok"/>
        </w:rPr>
        <w:t xml:space="preserve">(nosim, </w:t>
      </w:r>
      <w:r>
        <w:rPr>
          <w:rStyle w:val="AttributeTok"/>
        </w:rPr>
        <w:t xml:space="preserve">prob =</w:t>
      </w:r>
      <w:r>
        <w:rPr>
          <w:rStyle w:val="NormalTok"/>
        </w:rPr>
        <w:t xml:space="preserve"> p, </w:t>
      </w:r>
      <w:r>
        <w:rPr>
          <w:rStyle w:val="AttributeTok"/>
        </w:rPr>
        <w:t xml:space="preserve">size =</w:t>
      </w:r>
      <w:r>
        <w:rPr>
          <w:rStyle w:val="NormalTok"/>
        </w:rPr>
        <w:t xml:space="preserve"> n) </w:t>
      </w:r>
      <w:r>
        <w:rPr>
          <w:rStyle w:val="SpecialCharTok"/>
        </w:rPr>
        <w:t xml:space="preserve">/</w:t>
      </w:r>
      <w:r>
        <w:rPr>
          <w:rStyle w:val="NormalTok"/>
        </w:rPr>
        <w:t xml:space="preserve"> n</w:t>
      </w:r>
      <w:r>
        <w:br/>
      </w:r>
      <w:r>
        <w:rPr>
          <w:rStyle w:val="NormalTok"/>
        </w:rPr>
        <w:t xml:space="preserve">  ll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ul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w:t>
      </w:r>
      <w:r>
        <w:rPr>
          <w:rStyle w:val="FunctionTok"/>
        </w:rPr>
        <w:t xml:space="preserve">mean</w:t>
      </w:r>
      <w:r>
        <w:rPr>
          <w:rStyle w:val="NormalTok"/>
        </w:rPr>
        <w:t xml:space="preserve">(ll </w:t>
      </w:r>
      <w:r>
        <w:rPr>
          <w:rStyle w:val="SpecialCharTok"/>
        </w:rPr>
        <w:t xml:space="preserve">&lt;</w:t>
      </w:r>
      <w:r>
        <w:rPr>
          <w:rStyle w:val="NormalTok"/>
        </w:rPr>
        <w:t xml:space="preserve"> p </w:t>
      </w:r>
      <w:r>
        <w:rPr>
          <w:rStyle w:val="SpecialCharTok"/>
        </w:rPr>
        <w:t xml:space="preserve">&amp;</w:t>
      </w:r>
      <w:r>
        <w:rPr>
          <w:rStyle w:val="NormalTok"/>
        </w:rPr>
        <w:t xml:space="preserve"> ul </w:t>
      </w:r>
      <w:r>
        <w:rPr>
          <w:rStyle w:val="SpecialCharTok"/>
        </w:rPr>
        <w:t xml:space="preserve">&gt;</w:t>
      </w:r>
      <w:r>
        <w:rPr>
          <w:rStyle w:val="NormalTok"/>
        </w:rPr>
        <w:t xml:space="preserve"> p)</w:t>
      </w:r>
      <w:r>
        <w:br/>
      </w:r>
      <w:r>
        <w:rPr>
          <w:rStyle w:val="NormalTok"/>
        </w:rPr>
        <w:t xml:space="preserve">})</w:t>
      </w:r>
    </w:p>
    <w:p>
      <w:pPr>
        <w:pStyle w:val="FirstParagraph"/>
      </w:pPr>
      <w:r>
        <w:t xml:space="preserve">For each true success probability, we generate 1,000 sets of 20 coin flips and calculate the sample proportion. Then, we compute the lower and upper limits of the confidence interval for each set of coin flips. Finally, we determine the proportion of times that the confidence interval covers the true value of the success probability. we store these proportions in a variable called</w:t>
      </w:r>
      <w:r>
        <w:t xml:space="preserve"> </w:t>
      </w:r>
      <w:r>
        <w:t xml:space="preserve">“</w:t>
      </w:r>
      <w:r>
        <w:t xml:space="preserve">coverage.</w:t>
      </w:r>
      <w:r>
        <w:t xml:space="preserve">”</w:t>
      </w:r>
    </w:p>
    <w:p>
      <w:pPr>
        <w:pStyle w:val="BodyText"/>
      </w:pPr>
      <w:r>
        <w:t xml:space="preserve">To visualize the results, we can plot the coverage as a function of the true success probability used in the simulation. For example, if the true value of p is 0.5, we perform 1,000 simulations and calculate the coverage based on whether the confidence interval covers 0.5 or not. In this case, the coverage is over 95%, indicating that the confidence interval provides better than 95% coverage for a true success probability of 0.5.</w:t>
      </w:r>
      <w:r>
        <w:t xml:space="preserve"> </w:t>
      </w:r>
      <w:r>
        <w:drawing>
          <wp:inline>
            <wp:extent cx="5334000" cy="3000375"/>
            <wp:effectExtent b="0" l="0" r="0" t="0"/>
            <wp:docPr descr="Figure 2.6: Coverage of confidence intervals for coin flips, n=20" title="" id="1" name="Picture"/>
            <a:graphic>
              <a:graphicData uri="http://schemas.openxmlformats.org/drawingml/2006/picture">
                <pic:pic>
                  <pic:nvPicPr>
                    <pic:cNvPr descr="resources/images/week_02_files/figure-docx//1U1PiqeXG4XoKmg8hRFJqE1OFDOJfificBz1jLeDunHo_g257d7b8e795_0_107.png" id="0"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Although there is some Monte Carlo error due to the finite number of simulations, 1,000 simulations generally yield good accuracy. For a true success probability around 12%, the coverage falls well below the expected 95%. The reason behind this discrepancy is that the central limit theorem is not accurate enough for this specific value of n (the number of coin flips) and the true probability. To address this issue for smaller values of n, a quick fix is to add 2 to the number of successes and 2 to the number of failures. This adjustment modifies the sample proportion, making it</w:t>
      </w:r>
      <w:r>
        <w:t xml:space="preserve"> </w:t>
      </w:r>
      <m:oMath>
        <m:f>
          <m:fPr>
            <m:type m:val="bar"/>
          </m:fPr>
          <m:num>
            <m:r>
              <m:t>X</m:t>
            </m:r>
            <m:r>
              <m:rPr>
                <m:sty m:val="p"/>
              </m:rPr>
              <m:t>+</m:t>
            </m:r>
            <m:r>
              <m:t>2</m:t>
            </m:r>
          </m:num>
          <m:den>
            <m:r>
              <m:t>n</m:t>
            </m:r>
            <m:r>
              <m:rPr>
                <m:sty m:val="p"/>
              </m:rPr>
              <m:t>+</m:t>
            </m:r>
            <m:r>
              <m:t>4</m:t>
            </m:r>
          </m:den>
        </m:f>
      </m:oMath>
      <w:r>
        <w:t xml:space="preserve">. After applying this adjustment, the confidence interval procedure can be performed as usual. This modified interval is known as the</w:t>
      </w:r>
      <w:r>
        <w:t xml:space="preserve"> </w:t>
      </w:r>
      <w:r>
        <w:rPr>
          <w:bCs/>
          <w:b/>
        </w:rPr>
        <w:t xml:space="preserve">Agresti/Coull interval</w:t>
      </w:r>
      <w:r>
        <w:t xml:space="preserve"> </w:t>
      </w:r>
      <w:r>
        <w:t xml:space="preserve">and tends to perform better than the standard Wald interval. 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CaptionedFigure"/>
      </w:pPr>
      <w:r>
        <w:drawing>
          <wp:inline>
            <wp:extent cx="5334000" cy="3000375"/>
            <wp:effectExtent b="0" l="0" r="0" t="0"/>
            <wp:docPr descr="Figure 2.7: Coverage of confidence intervals for coin flips, n=100" title="" id="1" name="Picture"/>
            <a:graphic>
              <a:graphicData uri="http://schemas.openxmlformats.org/drawingml/2006/picture">
                <pic:pic>
                  <pic:nvPicPr>
                    <pic:cNvPr descr="resources/images/week_02_files/figure-docx//1U1PiqeXG4XoKmg8hRFJqE1OFDOJfificBz1jLeDunHo_g257d7b8e795_0_110.png" id="0" name="Picture"/>
                    <pic:cNvPicPr>
                      <a:picLocks noChangeArrowheads="1" noChangeAspect="1"/>
                    </pic:cNvPicPr>
                  </pic:nvPicPr>
                  <pic:blipFill>
                    <a:blip r:embed="rId10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3" w:name="fig19"/>
      <w:r>
        <w:t xml:space="preserve">Figure </w:t>
      </w:r>
      <w:fldSimple w:instr="SEQ Figure \* ARABIC ">
        <w:r>
          <w:t>19</w:t>
        </w:r>
      </w:fldSimple>
      <w:r>
        <w:t xml:space="preserve">:</w:t>
      </w:r>
      <w:r>
        <w:t xml:space="preserve"> </w:t>
      </w:r>
      <w:bookmarkEnd w:id="103"/>
      <w:r>
        <w:t xml:space="preserve">Figure 2.7: Coverage of confidence intervals for coin flips, n=100</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 Based on these observations, we strongly recommend using the add 2 successes and 2 failures interval instead of the Wald interval in this specific scenario.</w:t>
      </w:r>
    </w:p>
    <w:p>
      <w:pPr>
        <w:pStyle w:val="CaptionedFigure"/>
      </w:pPr>
      <w:r>
        <w:drawing>
          <wp:inline>
            <wp:extent cx="5334000" cy="3000375"/>
            <wp:effectExtent b="0" l="0" r="0" t="0"/>
            <wp:docPr descr="Figure 2.8: Coverage of confidence intervals for coin flips, n=20, add 2 successes and 2 failures" title="" id="1" name="Picture"/>
            <a:graphic>
              <a:graphicData uri="http://schemas.openxmlformats.org/drawingml/2006/picture">
                <pic:pic>
                  <pic:nvPicPr>
                    <pic:cNvPr descr="resources/images/week_02_files/figure-docx//1U1PiqeXG4XoKmg8hRFJqE1OFDOJfificBz1jLeDunHo_g257d7b8e795_0_81.png" id="0" name="Picture"/>
                    <pic:cNvPicPr>
                      <a:picLocks noChangeArrowheads="1" noChangeAspect="1"/>
                    </pic:cNvPicPr>
                  </pic:nvPicPr>
                  <pic:blipFill>
                    <a:blip r:embed="rId10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5" w:name="fig20"/>
      <w:r>
        <w:t xml:space="preserve">Figure </w:t>
      </w:r>
      <w:fldSimple w:instr="SEQ Figure \* ARABIC ">
        <w:r>
          <w:t>20</w:t>
        </w:r>
      </w:fldSimple>
      <w:r>
        <w:t xml:space="preserve">:</w:t>
      </w:r>
      <w:r>
        <w:t xml:space="preserve"> </w:t>
      </w:r>
      <w:bookmarkEnd w:id="105"/>
      <w:r>
        <w:t xml:space="preserve">Figure 2.8: Coverage of confidence intervals for coin flips, n=20, add 2 successes and 2 failures</w:t>
      </w:r>
    </w:p>
    <w:p>
      <w:pPr>
        <w:pStyle w:val="BodyText"/>
      </w:pPr>
      <w:r>
        <w:t xml:space="preserve">Example: Create a Poisson interval using the formula that involves the estimate plus or minus the normal quantile standard error.</w:t>
      </w:r>
      <w:r>
        <w:t xml:space="preserve"> </w:t>
      </w:r>
      <w:r>
        <w:t xml:space="preserve">Although the application of the central limit theorem in this case may be less clear, we will discuss it shortly.Consider a nuclear pump that failed 5 times out of 94.32 days over a monitoring period.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w:t>
      </w:r>
      <w:r>
        <w:t xml:space="preserve"> </w:t>
      </w:r>
      <m:oMath>
        <m:r>
          <m:t>λ</m:t>
        </m:r>
        <m:r>
          <m:rPr>
            <m:sty m:val="p"/>
          </m:rPr>
          <m:t>/</m:t>
        </m:r>
        <m:r>
          <m:t>t</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t </w:t>
      </w:r>
      <w:r>
        <w:rPr>
          <w:rStyle w:val="OtherTok"/>
        </w:rPr>
        <w:t xml:space="preserve">&lt;-</w:t>
      </w:r>
      <w:r>
        <w:rPr>
          <w:rStyle w:val="NormalTok"/>
        </w:rPr>
        <w:t xml:space="preserve"> </w:t>
      </w:r>
      <w:r>
        <w:rPr>
          <w:rStyle w:val="FloatTok"/>
        </w:rPr>
        <w:t xml:space="preserve">94.32</w:t>
      </w:r>
      <w:r>
        <w:rPr>
          <w:rStyle w:val="NormalTok"/>
        </w:rPr>
        <w:t xml:space="preserve">; lambda </w:t>
      </w:r>
      <w:r>
        <w:rPr>
          <w:rStyle w:val="OtherTok"/>
        </w:rPr>
        <w:t xml:space="preserve">&lt;-</w:t>
      </w:r>
      <w:r>
        <w:rPr>
          <w:rStyle w:val="NormalTok"/>
        </w:rPr>
        <w:t xml:space="preserve"> x </w:t>
      </w:r>
      <w:r>
        <w:rPr>
          <w:rStyle w:val="SpecialCharTok"/>
        </w:rPr>
        <w:t xml:space="preserve">/</w:t>
      </w:r>
      <w:r>
        <w:rPr>
          <w:rStyle w:val="NormalTok"/>
        </w:rPr>
        <w:t xml:space="preserve"> t</w:t>
      </w:r>
      <w:r>
        <w:br/>
      </w:r>
      <w:r>
        <w:rPr>
          <w:rStyle w:val="FunctionTok"/>
        </w:rPr>
        <w:t xml:space="preserve">round</w:t>
      </w:r>
      <w:r>
        <w:rPr>
          <w:rStyle w:val="NormalTok"/>
        </w:rPr>
        <w:t xml:space="preserve">(lambda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(lambda </w:t>
      </w:r>
      <w:r>
        <w:rPr>
          <w:rStyle w:val="SpecialCharTok"/>
        </w:rPr>
        <w:t xml:space="preserve">/</w:t>
      </w:r>
      <w:r>
        <w:rPr>
          <w:rStyle w:val="NormalTok"/>
        </w:rPr>
        <w:t xml:space="preserve"> t), </w:t>
      </w:r>
      <w:r>
        <w:rPr>
          <w:rStyle w:val="DecValTok"/>
        </w:rPr>
        <w:t xml:space="preserve">3</w:t>
      </w:r>
      <w:r>
        <w:rPr>
          <w:rStyle w:val="NormalTok"/>
        </w:rPr>
        <w:t xml:space="preserve">)</w:t>
      </w:r>
      <w:r>
        <w:br/>
      </w:r>
      <w:r>
        <w:rPr>
          <w:rStyle w:val="FunctionTok"/>
        </w:rPr>
        <w:t xml:space="preserve">poisson.test</w:t>
      </w:r>
      <w:r>
        <w:rPr>
          <w:rStyle w:val="NormalTok"/>
        </w:rPr>
        <w:t xml:space="preserve">(x, </w:t>
      </w:r>
      <w:r>
        <w:rPr>
          <w:rStyle w:val="AttributeTok"/>
        </w:rPr>
        <w:t xml:space="preserve">T =</w:t>
      </w:r>
      <w:r>
        <w:rPr>
          <w:rStyle w:val="NormalTok"/>
        </w:rPr>
        <w:t xml:space="preserve"> </w:t>
      </w:r>
      <w:r>
        <w:rPr>
          <w:rStyle w:val="FloatTok"/>
        </w:rPr>
        <w:t xml:space="preserve">94.32</w:t>
      </w:r>
      <w:r>
        <w:rPr>
          <w:rStyle w:val="NormalTok"/>
        </w:rPr>
        <w:t xml:space="preserve">)</w:t>
      </w:r>
      <w:r>
        <w:rPr>
          <w:rStyle w:val="SpecialCharTok"/>
        </w:rPr>
        <w:t xml:space="preserve">$</w:t>
      </w:r>
      <w:r>
        <w:rPr>
          <w:rStyle w:val="NormalTok"/>
        </w:rPr>
        <w:t xml:space="preserve">conf</w:t>
      </w:r>
    </w:p>
    <w:p>
      <w:pPr>
        <w:pStyle w:val="FirstParagraph"/>
      </w:pPr>
      <w:r>
        <w:t xml:space="preserve">In the calculations performed in R, the number of events</w:t>
      </w:r>
      <w:r>
        <w:t xml:space="preserve"> </w:t>
      </w:r>
      <m:oMath>
        <m:r>
          <m:t>x</m:t>
        </m:r>
      </m:oMath>
      <w:r>
        <w:t xml:space="preserve"> </w:t>
      </w:r>
      <w:r>
        <w:t xml:space="preserve">is set to 5, and the monitoring time</w:t>
      </w:r>
      <w:r>
        <w:t xml:space="preserve"> </w:t>
      </w:r>
      <m:oMath>
        <m:r>
          <m:t>t</m:t>
        </m:r>
      </m:oMath>
      <w:r>
        <w:t xml:space="preserve"> </w:t>
      </w:r>
      <w:r>
        <w:t xml:space="preserve">is 94.32. The rate estimate</w:t>
      </w:r>
      <w:r>
        <w:t xml:space="preserve"> </w:t>
      </w:r>
      <m:oMath>
        <m:acc>
          <m:accPr>
            <m:chr m:val="̂"/>
          </m:accPr>
          <m:e>
            <m:r>
              <m:t>λ</m:t>
            </m:r>
          </m:e>
        </m:acc>
      </m:oMath>
      <w:r>
        <w:t xml:space="preserve"> </w:t>
      </w:r>
      <w:r>
        <w:t xml:space="preserve">is computed as</w:t>
      </w:r>
      <w:r>
        <w:t xml:space="preserve"> </w:t>
      </w:r>
      <m:oMath>
        <m:r>
          <m:t>x</m:t>
        </m:r>
        <m:r>
          <m:rPr>
            <m:sty m:val="p"/>
          </m:rPr>
          <m:t>/</m:t>
        </m:r>
        <m:r>
          <m:t>t</m:t>
        </m:r>
      </m:oMath>
      <w:r>
        <w:t xml:space="preserve">, and the confidence interval estimate is obtained by adding or subtracting the relevant standard normal quantile multiplied by the standard error. The resulting interval is rounded to three decimal places. 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w:t>
      </w:r>
      <w:r>
        <w:t xml:space="preserve"> </w:t>
      </w:r>
      <m:oMath>
        <m:r>
          <m:t>λ</m:t>
        </m:r>
      </m:oMath>
      <w:r>
        <w:t xml:space="preserve"> </w:t>
      </w:r>
      <w:r>
        <w:t xml:space="preserve">values around those from our previous example and perform 1,000 simulations. The monitoring time is set to 100 for simplicity. We define coverage as the percentage of times the simulated interval contains the true</w:t>
      </w:r>
      <w:r>
        <w:t xml:space="preserve"> </w:t>
      </w:r>
      <m:oMath>
        <m:r>
          <m:t>λ</m:t>
        </m:r>
      </m:oMath>
      <w:r>
        <w:t xml:space="preserve"> </w:t>
      </w:r>
      <w:r>
        <w:t xml:space="preserve">value used in the simulation. The simulation is repeated for various</w:t>
      </w:r>
      <w:r>
        <w:t xml:space="preserve"> </w:t>
      </w:r>
      <m:oMath>
        <m:r>
          <m:t>λ</m:t>
        </m:r>
      </m:oMath>
      <w:r>
        <w:t xml:space="preserve"> </w:t>
      </w:r>
      <w:r>
        <w:t xml:space="preserve">values, and the resulting plot shows the</w:t>
      </w:r>
      <w:r>
        <w:t xml:space="preserve"> </w:t>
      </w:r>
      <m:oMath>
        <m:r>
          <m:t>λ</m:t>
        </m:r>
      </m:oMath>
      <w:r>
        <w:t xml:space="preserve"> </w:t>
      </w:r>
      <w:r>
        <w:t xml:space="preserve">values on the x-axis and the estimated coverage on the y-axis.</w:t>
      </w:r>
    </w:p>
    <w:p>
      <w:pPr>
        <w:pStyle w:val="CaptionedFigure"/>
      </w:pPr>
      <w:r>
        <w:drawing>
          <wp:inline>
            <wp:extent cx="5334000" cy="3000375"/>
            <wp:effectExtent b="0" l="0" r="0" t="0"/>
            <wp:docPr descr="Figure 2.9: Coverage of confidence intervals for Poisson data" title="" id="1" name="Picture"/>
            <a:graphic>
              <a:graphicData uri="http://schemas.openxmlformats.org/drawingml/2006/picture">
                <pic:pic>
                  <pic:nvPicPr>
                    <pic:cNvPr descr="resources/images/week_02_files/figure-docx//1U1PiqeXG4XoKmg8hRFJqE1OFDOJfificBz1jLeDunHo_g257d7b8e795_0_84.png" id="0" name="Picture"/>
                    <pic:cNvPicPr>
                      <a:picLocks noChangeArrowheads="1" noChangeAspect="1"/>
                    </pic:cNvPicPr>
                  </pic:nvPicPr>
                  <pic:blipFill>
                    <a:blip r:embed="rId10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7" w:name="fig21"/>
      <w:r>
        <w:t xml:space="preserve">Figure </w:t>
      </w:r>
      <w:fldSimple w:instr="SEQ Figure \* ARABIC ">
        <w:r>
          <w:t>21</w:t>
        </w:r>
      </w:fldSimple>
      <w:r>
        <w:t xml:space="preserve">:</w:t>
      </w:r>
      <w:r>
        <w:t xml:space="preserve"> </w:t>
      </w:r>
      <w:bookmarkEnd w:id="107"/>
      <w:r>
        <w:t xml:space="preserve">Figure 2.9: Coverage of confidence intervals for Poisson data</w:t>
      </w:r>
    </w:p>
    <w:p>
      <w:pPr>
        <w:pStyle w:val="BodyText"/>
      </w:pPr>
      <w:r>
        <w:t xml:space="preserve">The plot reveals that as</w:t>
      </w:r>
      <w:r>
        <w:t xml:space="preserve"> </w:t>
      </w:r>
      <m:oMath>
        <m:r>
          <m:t>λ</m:t>
        </m:r>
      </m:oMath>
      <w:r>
        <w:t xml:space="preserve"> </w:t>
      </w:r>
      <w:r>
        <w:t xml:space="preserve">values increase, the coverage approaches 95%. However, there is some Monte Carlo error due to the finite number of simulations. On the other hand, as the true</w:t>
      </w:r>
      <w:r>
        <w:t xml:space="preserve"> </w:t>
      </w:r>
      <m:oMath>
        <m:r>
          <m:t>λ</m:t>
        </m:r>
      </m:oMath>
      <w:r>
        <w:t xml:space="preserve"> </w:t>
      </w:r>
      <w:r>
        <w:t xml:space="preserve">value becomes smaller, the coverage deteriorates significantly. For very small</w:t>
      </w:r>
      <w:r>
        <w:t xml:space="preserve"> </w:t>
      </w:r>
      <m:oMath>
        <m:r>
          <m:t>λ</m:t>
        </m:r>
      </m:oMath>
      <w:r>
        <w:t xml:space="preserve"> </w:t>
      </w:r>
      <w:r>
        <w:t xml:space="preserve">values, the purported 95% interval may only provide 50% actual coverage. To address this issue, it is recommended not to rely on the asymptotic interval for small</w:t>
      </w:r>
      <w:r>
        <w:t xml:space="preserve"> </w:t>
      </w:r>
      <m:oMath>
        <m:r>
          <m:t>λ</m:t>
        </m:r>
      </m:oMath>
      <w:r>
        <w:t xml:space="preserve"> </w:t>
      </w:r>
      <w:r>
        <w:t xml:space="preserve">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w:t>
      </w:r>
      <w:r>
        <w:t xml:space="preserve"> </w:t>
      </w:r>
      <m:oMath>
        <m:r>
          <m:t>λ</m:t>
        </m:r>
      </m:oMath>
      <w:r>
        <w:t xml:space="preserve"> </w:t>
      </w:r>
      <w:r>
        <w:t xml:space="preserve">values. However, some poor coverage may still occur for small</w:t>
      </w:r>
      <w:r>
        <w:t xml:space="preserve"> </w:t>
      </w:r>
      <m:oMath>
        <m:r>
          <m:t>λ</m:t>
        </m:r>
      </m:oMath>
      <w:r>
        <w:t xml:space="preserve"> </w:t>
      </w:r>
      <w:r>
        <w:t xml:space="preserve">values, which we know the interval has trouble handling. In such cases, the exact Poisson interval remains a viable option.</w:t>
      </w:r>
    </w:p>
    <w:p>
      <w:pPr>
        <w:pStyle w:val="CaptionedFigure"/>
      </w:pPr>
      <w:r>
        <w:drawing>
          <wp:inline>
            <wp:extent cx="5334000" cy="3000375"/>
            <wp:effectExtent b="0" l="0" r="0" t="0"/>
            <wp:docPr descr="Figure 2.10: Coverage of confidence intervals for Poisson data, t=1000" title="" id="1" name="Picture"/>
            <a:graphic>
              <a:graphicData uri="http://schemas.openxmlformats.org/drawingml/2006/picture">
                <pic:pic>
                  <pic:nvPicPr>
                    <pic:cNvPr descr="resources/images/week_02_files/figure-docx//1U1PiqeXG4XoKmg8hRFJqE1OFDOJfificBz1jLeDunHo_g257d7b8e795_0_122.png" id="0" name="Picture"/>
                    <pic:cNvPicPr>
                      <a:picLocks noChangeArrowheads="1" noChangeAspect="1"/>
                    </pic:cNvPicPr>
                  </pic:nvPicPr>
                  <pic:blipFill>
                    <a:blip r:embed="rId10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9" w:name="fig22"/>
      <w:r>
        <w:t xml:space="preserve">Figure </w:t>
      </w:r>
      <w:fldSimple w:instr="SEQ Figure \* ARABIC ">
        <w:r>
          <w:t>22</w:t>
        </w:r>
      </w:fldSimple>
      <w:r>
        <w:t xml:space="preserve">:</w:t>
      </w:r>
      <w:r>
        <w:t xml:space="preserve"> </w:t>
      </w:r>
      <w:bookmarkEnd w:id="109"/>
      <w:r>
        <w:t xml:space="preserve">Figure 2.10: Coverage of confidence intervals for Poisson data, t=1000</w:t>
      </w:r>
    </w:p>
    <w:p>
      <w:pPr>
        <w:pStyle w:val="BodyText"/>
      </w:pPr>
      <w:r>
        <w:t xml:space="preserve">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 We also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 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 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r>
        <w:t xml:space="preserve"> </w:t>
      </w: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p>
      <w:pPr>
        <w:numPr>
          <w:ilvl w:val="0"/>
          <w:numId w:val="1007"/>
        </w:numPr>
        <w:pStyle w:val="Compact"/>
      </w:pPr>
      <w:r>
        <w:t xml:space="preserve">The LLN states that averages of iid samples</w:t>
      </w:r>
      <w:r>
        <w:t xml:space="preserve"> </w:t>
      </w:r>
      <w:r>
        <w:t xml:space="preserve">converge to the population means that they are estimating</w:t>
      </w:r>
    </w:p>
    <w:p>
      <w:pPr>
        <w:numPr>
          <w:ilvl w:val="0"/>
          <w:numId w:val="1007"/>
        </w:numPr>
        <w:pStyle w:val="Compact"/>
      </w:pPr>
      <w:r>
        <w:t xml:space="preserve">The CLT states that averages are approximately normal, with</w:t>
      </w:r>
      <w:r>
        <w:t xml:space="preserve"> </w:t>
      </w:r>
      <w:r>
        <w:t xml:space="preserve">distributions</w:t>
      </w:r>
    </w:p>
    <w:p>
      <w:pPr>
        <w:numPr>
          <w:ilvl w:val="1"/>
          <w:numId w:val="1008"/>
        </w:numPr>
        <w:pStyle w:val="Compact"/>
      </w:pPr>
      <w:r>
        <w:t xml:space="preserve">centered at the population mean</w:t>
      </w:r>
    </w:p>
    <w:p>
      <w:pPr>
        <w:numPr>
          <w:ilvl w:val="1"/>
          <w:numId w:val="1008"/>
        </w:numPr>
        <w:pStyle w:val="Compact"/>
      </w:pPr>
      <w:r>
        <w:t xml:space="preserve">with standard deviation equal to the standard error of the mean</w:t>
      </w:r>
    </w:p>
    <w:p>
      <w:pPr>
        <w:numPr>
          <w:ilvl w:val="1"/>
          <w:numId w:val="1008"/>
        </w:numPr>
        <w:pStyle w:val="Compact"/>
      </w:pPr>
      <w:r>
        <w:t xml:space="preserve">CLT gives no guarantee that</w:t>
      </w:r>
      <w:r>
        <w:t xml:space="preserve"> </w:t>
      </w:r>
      <m:oMath>
        <m:r>
          <m:t>n</m:t>
        </m:r>
      </m:oMath>
      <w:r>
        <w:t xml:space="preserve"> </w:t>
      </w:r>
      <w:r>
        <w:t xml:space="preserve">is large enough</w:t>
      </w:r>
    </w:p>
    <w:p>
      <w:pPr>
        <w:numPr>
          <w:ilvl w:val="0"/>
          <w:numId w:val="1007"/>
        </w:numPr>
        <w:pStyle w:val="Compact"/>
      </w:pPr>
      <w:r>
        <w:t xml:space="preserve">Taking the mean and adding and subtracting the relevant</w:t>
      </w:r>
      <w:r>
        <w:t xml:space="preserve"> </w:t>
      </w:r>
      <w:r>
        <w:t xml:space="preserve">normal quantile times the SE yields a confidence interval for the mean</w:t>
      </w:r>
    </w:p>
    <w:p>
      <w:pPr>
        <w:numPr>
          <w:ilvl w:val="1"/>
          <w:numId w:val="1009"/>
        </w:numPr>
        <w:pStyle w:val="Compact"/>
      </w:pPr>
      <w:r>
        <w:t xml:space="preserve">Adding and subtracting 2 SEs works for 95% intervals</w:t>
      </w:r>
    </w:p>
    <w:p>
      <w:pPr>
        <w:numPr>
          <w:ilvl w:val="0"/>
          <w:numId w:val="1007"/>
        </w:numPr>
        <w:pStyle w:val="Compact"/>
      </w:pPr>
      <w:r>
        <w:t xml:space="preserve">Confidence intervals get wider as the coverage increases</w:t>
      </w:r>
      <w:r>
        <w:t xml:space="preserve"> </w:t>
      </w:r>
      <w:r>
        <w:t xml:space="preserve">(why?)</w:t>
      </w:r>
    </w:p>
    <w:p>
      <w:pPr>
        <w:numPr>
          <w:ilvl w:val="0"/>
          <w:numId w:val="1007"/>
        </w:numPr>
        <w:pStyle w:val="Compact"/>
      </w:pPr>
      <w:r>
        <w:t xml:space="preserve">Confidence intervals get narrower with less variability or</w:t>
      </w:r>
      <w:r>
        <w:t xml:space="preserve"> </w:t>
      </w:r>
      <w:r>
        <w:t xml:space="preserve">larger sample sizes</w:t>
      </w:r>
    </w:p>
    <w:p>
      <w:pPr>
        <w:numPr>
          <w:ilvl w:val="0"/>
          <w:numId w:val="1007"/>
        </w:numPr>
        <w:pStyle w:val="Compact"/>
      </w:pPr>
      <w:r>
        <w:t xml:space="preserve">The Poisson and binomial case have exact intervals that</w:t>
      </w:r>
      <w:r>
        <w:t xml:space="preserve"> </w:t>
      </w:r>
      <w:r>
        <w:t xml:space="preserve">don’t require the CLT</w:t>
      </w:r>
    </w:p>
    <w:p>
      <w:pPr>
        <w:numPr>
          <w:ilvl w:val="1"/>
          <w:numId w:val="1010"/>
        </w:numPr>
        <w:pStyle w:val="Compact"/>
      </w:pPr>
      <w:r>
        <w:t xml:space="preserve">But a quick fix for small sample size binomial calculations is to add 2 successes and failures</w:t>
      </w:r>
    </w:p>
    <w:bookmarkEnd w:id="110"/>
    <w:bookmarkEnd w:id="111"/>
    <w:bookmarkStart w:id="112" w:name="practical-r-exercises-in-swirl-1"/>
    <w:p>
      <w:pPr>
        <w:pStyle w:val="Heading2"/>
      </w:pPr>
      <w:r>
        <w:rPr>
          <w:rStyle w:val="SectionNumber"/>
        </w:rPr>
        <w:t xml:space="preserve">2.3</w:t>
      </w:r>
      <w:r>
        <w:tab/>
      </w:r>
      <w:r>
        <w:t xml:space="preserve">Practical R Exercises in swirl</w:t>
      </w:r>
    </w:p>
    <w:bookmarkEnd w:id="112"/>
    <w:bookmarkEnd w:id="113"/>
    <w:bookmarkStart w:id="121" w:name="about-the-authors"/>
    <w:p>
      <w:pPr>
        <w:pStyle w:val="Heading1"/>
      </w:pPr>
      <w:r>
        <w:t xml:space="preserve">About the Authors</w:t>
      </w:r>
    </w:p>
    <w:p>
      <w:pPr>
        <w:pStyle w:val="FirstParagraph"/>
      </w:pPr>
      <w:r>
        <w:t xml:space="preserve">These credits are based on our</w:t>
      </w:r>
      <w:r>
        <w:t xml:space="preserve"> </w:t>
      </w:r>
      <w:hyperlink r:id="rId1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6">
              <w:r>
                <w:rPr>
                  <w:rStyle w:val="Hyperlink"/>
                </w:rPr>
                <w:t xml:space="preserve">Candace Savonen</w:t>
              </w:r>
            </w:hyperlink>
            <w:r>
              <w:t xml:space="preserve">,</w:t>
            </w:r>
            <w:r>
              <w:t xml:space="preserve"> </w:t>
            </w:r>
            <w:hyperlink r:id="rId117">
              <w:r>
                <w:rPr>
                  <w:rStyle w:val="Hyperlink"/>
                </w:rPr>
                <w:t xml:space="preserve">Carrie Wright</w:t>
              </w:r>
            </w:hyperlink>
            <w:r>
              <w:t xml:space="preserve">,</w:t>
            </w:r>
            <w:r>
              <w:t xml:space="preserve"> </w:t>
            </w:r>
            <w:hyperlink r:id="rId1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7">
              <w:r>
                <w:rPr>
                  <w:rStyle w:val="Hyperlink"/>
                </w:rPr>
                <w:t xml:space="preserve">Carrie Wright</w:t>
              </w:r>
            </w:hyperlink>
            <w:r>
              <w:t xml:space="preserve">,</w:t>
            </w:r>
            <w:r>
              <w:t xml:space="preserve"> </w:t>
            </w:r>
            <w:hyperlink r:id="rId118">
              <w:r>
                <w:rPr>
                  <w:rStyle w:val="Hyperlink"/>
                </w:rPr>
                <w:t xml:space="preserve">Ava Hoffman</w:t>
              </w:r>
            </w:hyperlink>
            <w:r>
              <w:t xml:space="preserve">,</w:t>
            </w:r>
            <w:r>
              <w:t xml:space="preserve"> </w:t>
            </w:r>
            <w:hyperlink r:id="rId116">
              <w:r>
                <w:rPr>
                  <w:rStyle w:val="Hyperlink"/>
                </w:rPr>
                <w:t xml:space="preserve">Candace Savonen</w:t>
              </w:r>
            </w:hyperlink>
          </w:p>
        </w:tc>
      </w:tr>
      <w:tr>
        <w:tc>
          <w:tcPr/>
          <w:p>
            <w:pPr>
              <w:pStyle w:val="Compact"/>
              <w:jc w:val="left"/>
            </w:pPr>
            <w:r>
              <w:t xml:space="preserve">Package Developers (</w:t>
            </w:r>
            <w:hyperlink r:id="rId119">
              <w:r>
                <w:rPr>
                  <w:rStyle w:val="Hyperlink"/>
                </w:rPr>
                <w:t xml:space="preserve">ottrpal</w:t>
              </w:r>
            </w:hyperlink>
            <w:r>
              <w:t xml:space="preserve">)</w:t>
            </w:r>
            <w:r>
              <w:t xml:space="preserve"> </w:t>
            </w:r>
            <w:hyperlink r:id="rId116">
              <w:r>
                <w:rPr>
                  <w:rStyle w:val="Hyperlink"/>
                </w:rPr>
                <w:t xml:space="preserve">Candace Savonen</w:t>
              </w:r>
            </w:hyperlink>
            <w:r>
              <w:t xml:space="preserve">,</w:t>
            </w:r>
            <w:r>
              <w:t xml:space="preserve"> </w:t>
            </w:r>
            <w:hyperlink r:id="rId120">
              <w:r>
                <w:rPr>
                  <w:rStyle w:val="Hyperlink"/>
                </w:rPr>
                <w:t xml:space="preserve">John Muschelli</w:t>
              </w:r>
            </w:hyperlink>
            <w:r>
              <w:t xml:space="preserve">,</w:t>
            </w:r>
            <w:r>
              <w:t xml:space="preserve"> </w:t>
            </w:r>
            <w:hyperlink r:id="rId11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1"/>
    <w:bookmarkStart w:id="122" w:name="references"/>
    <w:p>
      <w:pPr>
        <w:pStyle w:val="Heading1"/>
      </w:pPr>
      <w:r>
        <w:rPr>
          <w:rStyle w:val="SectionNumber"/>
        </w:rPr>
        <w:t xml:space="preserve">3</w:t>
      </w:r>
      <w:r>
        <w:tab/>
      </w:r>
      <w:r>
        <w:t xml:space="preserve">References</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2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7"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9"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20"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9" Target="https://upload.wikimedia.org/wikipedia/commons/c/c1/Galton_box.jpg"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2023-07-12T03:04:06Z</dcterms:created>
  <dcterms:modified xsi:type="dcterms:W3CDTF">2023-07-12T03:04:06Z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