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1.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98.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93.png" ContentType="image/png"/>
  <Override PartName="/word/media/rId95.png" ContentType="image/png"/>
  <Override PartName="/word/media/rId103.png" ContentType="image/png"/>
  <Override PartName="/word/media/rId105.png" ContentType="image/png"/>
  <Override PartName="/word/media/rId107.png" ContentType="image/png"/>
  <Override PartName="/word/media/rId109.png" ContentType="image/png"/>
  <Override PartName="/word/media/rId111.png" ContentType="image/png"/>
  <Override PartName="/word/media/rId119.png" ContentType="image/png"/>
  <Override PartName="/word/media/rId124.png" ContentType="image/png"/>
  <Override PartName="/word/media/rId126.png" ContentType="image/png"/>
  <Override PartName="/word/media/rId136.png" ContentType="image/png"/>
  <Override PartName="/word/media/rId138.png" ContentType="image/png"/>
  <Override PartName="/word/media/rId143.png" ContentType="image/png"/>
  <Override PartName="/word/media/rId145.png" ContentType="image/png"/>
  <Override PartName="/word/media/rId147.png" ContentType="image/png"/>
  <Override PartName="/word/media/rId149.png" ContentType="image/png"/>
  <Override PartName="/word/media/rId152.png" ContentType="image/png"/>
  <Override PartName="/word/media/rId1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02"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0.3203876</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iCs/>
          <w:i/>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w:t>
      </w:r>
      <w:r>
        <w:t xml:space="preserve"> </w:t>
      </w:r>
      <m:oMath>
        <m:r>
          <m:t>x</m:t>
        </m:r>
      </m:oMath>
      <w:r>
        <w:t xml:space="preserve">?</w:t>
      </w:r>
      <w:r>
        <w:t xml:space="preserve"> </w:t>
      </w:r>
      <w:r>
        <w:t xml:space="preserve">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w:t>
      </w:r>
      <w:r>
        <w:t xml:space="preserve"> </w:t>
      </w:r>
      <m:oMath>
        <m:d>
          <m:dPr>
            <m:begChr m:val="("/>
            <m:endChr m:val=")"/>
            <m:sepChr m:val=""/>
            <m:grow/>
          </m:dPr>
          <m:e>
            <m:r>
              <m:t>σ</m:t>
            </m:r>
          </m:e>
        </m:d>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101"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iCs/>
          <w:i/>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p>
    <w:bookmarkStart w:id="97" w:name="asymptotics-and-lln"/>
    <w:p>
      <w:pPr>
        <w:pStyle w:val="Heading3"/>
      </w:pPr>
      <w:r>
        <w:rPr>
          <w:rStyle w:val="SectionNumber"/>
        </w:rPr>
        <w:t xml:space="preserve">2.2.1</w:t>
      </w:r>
      <w:r>
        <w:tab/>
      </w:r>
      <w:r>
        <w:t xml:space="preserve">Asymptotics and LLN</w:t>
      </w:r>
    </w:p>
    <w:p>
      <w:pPr>
        <w:pStyle w:val="FirstParagraph"/>
      </w:pP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resources/images/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p>
    <w:p>
      <w:pPr>
        <w:pStyle w:val="CaptionedFigure"/>
      </w:pPr>
      <w:r>
        <w:drawing>
          <wp:inline>
            <wp:extent cx="5334000" cy="3000375"/>
            <wp:effectExtent b="0" l="0" r="0" t="0"/>
            <wp:docPr descr="Figure 2.3: Cumulative means of coin flips" title="" id="1" name="Picture"/>
            <a:graphic>
              <a:graphicData uri="http://schemas.openxmlformats.org/drawingml/2006/picture">
                <pic:pic>
                  <pic:nvPicPr>
                    <pic:cNvPr descr="resources/images/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18"/>
      <w:r>
        <w:t xml:space="preserve">Figure </w:t>
      </w:r>
      <w:fldSimple w:instr="SEQ Figure \* ARABIC ">
        <w:r>
          <w:t>18</w:t>
        </w:r>
      </w:fldSimple>
      <w:r>
        <w:t xml:space="preserve">:</w:t>
      </w:r>
      <w:r>
        <w:t xml:space="preserve"> </w:t>
      </w:r>
      <w:bookmarkEnd w:id="96"/>
      <w:r>
        <w:t xml:space="preserve">Figure 2.3: Cumulative means of coin flips</w:t>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iCs/>
          <w:i/>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End w:id="97"/>
    <w:bookmarkStart w:id="100" w:name="asymptotics-and-the-clt"/>
    <w:p>
      <w:pPr>
        <w:pStyle w:val="Heading3"/>
      </w:pPr>
      <w:r>
        <w:rPr>
          <w:rStyle w:val="SectionNumber"/>
        </w:rPr>
        <w:t xml:space="preserve">2.2.2</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p>
      <w:pPr>
        <w:pStyle w:val="BodyText"/>
      </w:pPr>
      <w:r>
        <w:t xml:space="preserve">$$\frac{\bar{X_n}-\mu}{\sigma/\sqrt{n}}=\frac{\sqrt{n}(\bar{X_n}-\mu)}{\sigma}=\frac{{Estimate} - {Mean\space of\space estimate}}{Std.\space Err.\space of\space estimate}$$</w:t>
      </w:r>
    </w:p>
    <w:p>
      <w:pPr>
        <w:pStyle w:val="FirstParagraph"/>
      </w:pPr>
      <w:r>
        <w:t xml:space="preserve">Importantly, replacing the unknown population standard deviation with the known sample standard deviation does not affect the Central Limit Theorem.</w:t>
      </w:r>
    </w:p>
    <w:p>
      <w:pPr>
        <w:pStyle w:val="BodyText"/>
      </w:pPr>
      <w:r>
        <w:t xml:space="preserve">The most useful interpretation of the Central Limit Theorem is that the sample average is approximately normally distributed, with a mean equal to the population mean and a variance given by the standard error of the mean.</w:t>
      </w:r>
    </w:p>
    <w:p>
      <w:pPr>
        <w:pStyle w:val="BodyText"/>
      </w:pPr>
      <w:r>
        <w:t xml:space="preserve">Example: Using standard die with the mean of 3.5, and variance of 2.92. We simulate the die roll n times, calculate the sample mean, subtract the population mean, and dividing by the standard error.</w:t>
      </w:r>
    </w:p>
    <w:p>
      <w:pPr>
        <w:pStyle w:val="CaptionedFigure"/>
      </w:pPr>
      <w:r>
        <w:drawing>
          <wp:inline>
            <wp:extent cx="5334000" cy="3000375"/>
            <wp:effectExtent b="0" l="0" r="0" t="0"/>
            <wp:docPr descr="Figure 2.4: Distribution of averages of iid random variables in die roll" title="" id="1" name="Picture"/>
            <a:graphic>
              <a:graphicData uri="http://schemas.openxmlformats.org/drawingml/2006/picture">
                <pic:pic>
                  <pic:nvPicPr>
                    <pic:cNvPr descr="resources/images/week_02_files/figure-docx//1U1PiqeXG4XoKmg8hRFJqE1OFDOJfificBz1jLeDunHo_g257d7b8e795_0_101.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9" w:name="fig19"/>
      <w:r>
        <w:t xml:space="preserve">Figure </w:t>
      </w:r>
      <w:fldSimple w:instr="SEQ Figure \* ARABIC ">
        <w:r>
          <w:t>19</w:t>
        </w:r>
      </w:fldSimple>
      <w:r>
        <w:t xml:space="preserve">:</w:t>
      </w:r>
      <w:r>
        <w:t xml:space="preserve"> </w:t>
      </w:r>
      <w:bookmarkEnd w:id="99"/>
      <w:r>
        <w:t xml:space="preserve">Figure 2.4: Distribution of averages of iid random variables in die roll</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3.5</w:t>
      </w:r>
      <w:r>
        <w:rPr>
          <w:rStyle w:val="NormalTok"/>
        </w:rPr>
        <w:t xml:space="preserve">) </w:t>
      </w:r>
      <w:r>
        <w:rPr>
          <w:rStyle w:val="SpecialCharTok"/>
        </w:rPr>
        <w:t xml:space="preserve">/</w:t>
      </w:r>
      <w:r>
        <w:rPr>
          <w:rStyle w:val="NormalTok"/>
        </w:rPr>
        <w:t xml:space="preserve"> </w:t>
      </w:r>
      <w:r>
        <w:rPr>
          <w:rStyle w:val="FloatTok"/>
        </w:rPr>
        <w:t xml:space="preserve">1.71</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bookmarkEnd w:id="100"/>
    <w:bookmarkEnd w:id="101"/>
    <w:bookmarkEnd w:id="102"/>
    <w:bookmarkStart w:id="123"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15"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4" w:name="fig20"/>
      <w:r>
        <w:t xml:space="preserve">Figure </w:t>
      </w:r>
      <w:fldSimple w:instr="SEQ Figure \* ARABIC ">
        <w:r>
          <w:t>20</w:t>
        </w:r>
      </w:fldSimple>
      <w:r>
        <w:t xml:space="preserve">:</w:t>
      </w:r>
      <w:r>
        <w:t xml:space="preserve"> </w:t>
      </w:r>
      <w:bookmarkEnd w:id="104"/>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6" w:name="fig21"/>
      <w:r>
        <w:t xml:space="preserve">Figure </w:t>
      </w:r>
      <w:fldSimple w:instr="SEQ Figure \* ARABIC ">
        <w:r>
          <w:t>21</w:t>
        </w:r>
      </w:fldSimple>
      <w:r>
        <w:t xml:space="preserve">:</w:t>
      </w:r>
      <w:r>
        <w:t xml:space="preserve"> </w:t>
      </w:r>
      <w:bookmarkEnd w:id="106"/>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8" w:name="fig22"/>
      <w:r>
        <w:t xml:space="preserve">Figure </w:t>
      </w:r>
      <w:fldSimple w:instr="SEQ Figure \* ARABIC ">
        <w:r>
          <w:t>22</w:t>
        </w:r>
      </w:fldSimple>
      <w:r>
        <w:t xml:space="preserve">:</w:t>
      </w:r>
      <w:r>
        <w:t xml:space="preserve"> </w:t>
      </w:r>
      <w:bookmarkEnd w:id="108"/>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13"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0" w:name="fig23"/>
      <w:r>
        <w:t xml:space="preserve">Figure </w:t>
      </w:r>
      <w:fldSimple w:instr="SEQ Figure \* ARABIC ">
        <w:r>
          <w:t>23</w:t>
        </w:r>
      </w:fldSimple>
      <w:r>
        <w:t xml:space="preserve">:</w:t>
      </w:r>
      <w:r>
        <w:t xml:space="preserve"> </w:t>
      </w:r>
      <w:bookmarkEnd w:id="110"/>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2" w:name="fig24"/>
      <w:r>
        <w:t xml:space="preserve">Figure </w:t>
      </w:r>
      <w:fldSimple w:instr="SEQ Figure \* ARABIC ">
        <w:r>
          <w:t>24</w:t>
        </w:r>
      </w:fldSimple>
      <w:r>
        <w:t xml:space="preserve">:</w:t>
      </w:r>
      <w:r>
        <w:t xml:space="preserve"> </w:t>
      </w:r>
      <w:bookmarkEnd w:id="112"/>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13"/>
    <w:bookmarkStart w:id="114"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14"/>
    <w:bookmarkEnd w:id="115"/>
    <w:bookmarkStart w:id="117"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16"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16"/>
    <w:bookmarkEnd w:id="117"/>
    <w:bookmarkStart w:id="118"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18"/>
    <w:bookmarkStart w:id="121"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2.4: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1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0" w:name="fig25"/>
      <w:r>
        <w:t xml:space="preserve">Figure </w:t>
      </w:r>
      <w:fldSimple w:instr="SEQ Figure \* ARABIC ">
        <w:r>
          <w:t>25</w:t>
        </w:r>
      </w:fldSimple>
      <w:r>
        <w:t xml:space="preserve">:</w:t>
      </w:r>
      <w:r>
        <w:t xml:space="preserve"> </w:t>
      </w:r>
      <w:bookmarkEnd w:id="120"/>
      <w:r>
        <w:t xml:space="preserve">Figure 2.4: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21"/>
    <w:bookmarkStart w:id="122" w:name="practical-r-exercises-in-swirl-1"/>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07"/>
        </w:numPr>
        <w:pStyle w:val="Compact"/>
      </w:pPr>
      <w:r>
        <w:t xml:space="preserve">T Confidence Intervals</w:t>
      </w:r>
    </w:p>
    <w:p>
      <w:pPr>
        <w:numPr>
          <w:ilvl w:val="0"/>
          <w:numId w:val="1007"/>
        </w:numPr>
        <w:pStyle w:val="Compact"/>
      </w:pPr>
      <w:r>
        <w:t xml:space="preserve">Hypothesis Testing</w:t>
      </w:r>
    </w:p>
    <w:p>
      <w:pPr>
        <w:numPr>
          <w:ilvl w:val="0"/>
          <w:numId w:val="1007"/>
        </w:numPr>
        <w:pStyle w:val="Compact"/>
      </w:pPr>
      <w:r>
        <w:t xml:space="preserve">P Values</w:t>
      </w:r>
    </w:p>
    <w:bookmarkEnd w:id="122"/>
    <w:bookmarkEnd w:id="123"/>
    <w:bookmarkStart w:id="158"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29"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28"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5" w:name="fig26"/>
      <w:r>
        <w:t xml:space="preserve">Figure </w:t>
      </w:r>
      <w:fldSimple w:instr="SEQ Figure \* ARABIC ">
        <w:r>
          <w:t>26</w:t>
        </w:r>
      </w:fldSimple>
      <w:r>
        <w:t xml:space="preserve">:</w:t>
      </w:r>
      <w:r>
        <w:t xml:space="preserve"> </w:t>
      </w:r>
      <w:bookmarkEnd w:id="125"/>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7" w:name="fig27"/>
      <w:r>
        <w:t xml:space="preserve">Figure </w:t>
      </w:r>
      <w:fldSimple w:instr="SEQ Figure \* ARABIC ">
        <w:r>
          <w:t>27</w:t>
        </w:r>
      </w:fldSimple>
      <w:r>
        <w:t xml:space="preserve">:</w:t>
      </w:r>
      <w:r>
        <w:t xml:space="preserve"> </w:t>
      </w:r>
      <w:bookmarkEnd w:id="127"/>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08"/>
        </w:numPr>
        <w:pStyle w:val="Compact"/>
      </w:pPr>
      <w:r>
        <w:t xml:space="preserve">As alpha (significance level) increases, power also increases. The power of a one-sided test is greater than the power of the corresponding two-sided test.</w:t>
      </w:r>
    </w:p>
    <w:p>
      <w:pPr>
        <w:numPr>
          <w:ilvl w:val="0"/>
          <w:numId w:val="1008"/>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08"/>
        </w:numPr>
        <w:pStyle w:val="Compact"/>
      </w:pPr>
      <w:r>
        <w:t xml:space="preserve">As the sample size (n) increases, the sample mean has less variability, resulting in higher power.</w:t>
      </w:r>
    </w:p>
    <w:p>
      <w:pPr>
        <w:numPr>
          <w:ilvl w:val="0"/>
          <w:numId w:val="1008"/>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28"/>
    <w:bookmarkEnd w:id="129"/>
    <w:bookmarkStart w:id="157"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30">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31"/>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32" w:name="fig28"/>
      <w:r>
        <w:t xml:space="preserve">Figure </w:t>
      </w:r>
      <w:fldSimple w:instr="SEQ Figure \* ARABIC ">
        <w:r>
          <w:t>28</w:t>
        </w:r>
      </w:fldSimple>
      <w:r>
        <w:t xml:space="preserve">:</w:t>
      </w:r>
      <w:r>
        <w:t xml:space="preserve"> </w:t>
      </w:r>
      <w:bookmarkEnd w:id="132"/>
      <w:hyperlink r:id="rId133">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34">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35">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7" w:name="fig29"/>
      <w:r>
        <w:t xml:space="preserve">Figure </w:t>
      </w:r>
      <w:fldSimple w:instr="SEQ Figure \* ARABIC ">
        <w:r>
          <w:t>29</w:t>
        </w:r>
      </w:fldSimple>
      <w:r>
        <w:t xml:space="preserve">:</w:t>
      </w:r>
      <w:r>
        <w:t xml:space="preserve"> </w:t>
      </w:r>
      <w:bookmarkEnd w:id="137"/>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9" w:name="fig30"/>
      <w:r>
        <w:t xml:space="preserve">Figure </w:t>
      </w:r>
      <w:fldSimple w:instr="SEQ Figure \* ARABIC ">
        <w:r>
          <w:t>30</w:t>
        </w:r>
      </w:fldSimple>
      <w:r>
        <w:t xml:space="preserve">:</w:t>
      </w:r>
      <w:r>
        <w:t xml:space="preserve"> </w:t>
      </w:r>
      <w:bookmarkEnd w:id="139"/>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09"/>
        </w:numPr>
        <w:pStyle w:val="Compact"/>
      </w:pPr>
      <w:hyperlink r:id="rId140">
        <w:r>
          <w:rPr>
            <w:rStyle w:val="Hyperlink"/>
          </w:rPr>
          <w:t xml:space="preserve">Multiple testing procedures with applications to genomics</w:t>
        </w:r>
      </w:hyperlink>
    </w:p>
    <w:p>
      <w:pPr>
        <w:numPr>
          <w:ilvl w:val="0"/>
          <w:numId w:val="1009"/>
        </w:numPr>
        <w:pStyle w:val="Compact"/>
      </w:pPr>
      <w:hyperlink r:id="rId141">
        <w:r>
          <w:rPr>
            <w:rStyle w:val="Hyperlink"/>
          </w:rPr>
          <w:t xml:space="preserve">Statistical significance for genome-wide studies</w:t>
        </w:r>
      </w:hyperlink>
    </w:p>
    <w:p>
      <w:pPr>
        <w:numPr>
          <w:ilvl w:val="0"/>
          <w:numId w:val="1009"/>
        </w:numPr>
        <w:pStyle w:val="Compact"/>
      </w:pPr>
      <w:hyperlink r:id="rId142">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4" w:name="fig31"/>
      <w:r>
        <w:t xml:space="preserve">Figure </w:t>
      </w:r>
      <w:fldSimple w:instr="SEQ Figure \* ARABIC ">
        <w:r>
          <w:t>31</w:t>
        </w:r>
      </w:fldSimple>
      <w:r>
        <w:t xml:space="preserve">:</w:t>
      </w:r>
      <w:r>
        <w:t xml:space="preserve"> </w:t>
      </w:r>
      <w:bookmarkEnd w:id="144"/>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6" w:name="fig32"/>
      <w:r>
        <w:t xml:space="preserve">Figure </w:t>
      </w:r>
      <w:fldSimple w:instr="SEQ Figure \* ARABIC ">
        <w:r>
          <w:t>32</w:t>
        </w:r>
      </w:fldSimple>
      <w:r>
        <w:t xml:space="preserve">:</w:t>
      </w:r>
      <w:r>
        <w:t xml:space="preserve"> </w:t>
      </w:r>
      <w:bookmarkEnd w:id="146"/>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8" w:name="fig33"/>
      <w:r>
        <w:t xml:space="preserve">Figure </w:t>
      </w:r>
      <w:fldSimple w:instr="SEQ Figure \* ARABIC ">
        <w:r>
          <w:t>33</w:t>
        </w:r>
      </w:fldSimple>
      <w:r>
        <w:t xml:space="preserve">:</w:t>
      </w:r>
      <w:r>
        <w:t xml:space="preserve"> </w:t>
      </w:r>
      <w:bookmarkEnd w:id="148"/>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51"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0" w:name="fig34"/>
      <w:r>
        <w:t xml:space="preserve">Figure </w:t>
      </w:r>
      <w:fldSimple w:instr="SEQ Figure \* ARABIC ">
        <w:r>
          <w:t>34</w:t>
        </w:r>
      </w:fldSimple>
      <w:r>
        <w:t xml:space="preserve">:</w:t>
      </w:r>
      <w:r>
        <w:t xml:space="preserve"> </w:t>
      </w:r>
      <w:bookmarkEnd w:id="150"/>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51"/>
    <w:bookmarkStart w:id="156"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3" w:name="fig35"/>
      <w:r>
        <w:t xml:space="preserve">Figure </w:t>
      </w:r>
      <w:fldSimple w:instr="SEQ Figure \* ARABIC ">
        <w:r>
          <w:t>35</w:t>
        </w:r>
      </w:fldSimple>
      <w:r>
        <w:t xml:space="preserve">:</w:t>
      </w:r>
      <w:r>
        <w:t xml:space="preserve"> </w:t>
      </w:r>
      <w:bookmarkEnd w:id="153"/>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2.4: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5" w:name="fig36"/>
      <w:r>
        <w:t xml:space="preserve">Figure </w:t>
      </w:r>
      <w:fldSimple w:instr="SEQ Figure \* ARABIC ">
        <w:r>
          <w:t>36</w:t>
        </w:r>
      </w:fldSimple>
      <w:r>
        <w:t xml:space="preserve">:</w:t>
      </w:r>
      <w:r>
        <w:t xml:space="preserve"> </w:t>
      </w:r>
      <w:bookmarkEnd w:id="155"/>
      <w:r>
        <w:t xml:space="preserve">Figure 2.4: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56"/>
    <w:bookmarkEnd w:id="157"/>
    <w:bookmarkEnd w:id="158"/>
    <w:bookmarkStart w:id="166" w:name="about-the-authors"/>
    <w:p>
      <w:pPr>
        <w:pStyle w:val="Heading1"/>
      </w:pPr>
      <w:r>
        <w:t xml:space="preserve">About the Authors</w:t>
      </w:r>
    </w:p>
    <w:p>
      <w:pPr>
        <w:pStyle w:val="FirstParagraph"/>
      </w:pPr>
      <w:r>
        <w:t xml:space="preserve">These credits are based on our</w:t>
      </w:r>
      <w:r>
        <w:t xml:space="preserve"> </w:t>
      </w:r>
      <w:hyperlink r:id="rId15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6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61">
              <w:r>
                <w:rPr>
                  <w:rStyle w:val="Hyperlink"/>
                </w:rPr>
                <w:t xml:space="preserve">Candace Savonen</w:t>
              </w:r>
            </w:hyperlink>
            <w:r>
              <w:t xml:space="preserve">,</w:t>
            </w:r>
            <w:r>
              <w:t xml:space="preserve"> </w:t>
            </w:r>
            <w:hyperlink r:id="rId162">
              <w:r>
                <w:rPr>
                  <w:rStyle w:val="Hyperlink"/>
                </w:rPr>
                <w:t xml:space="preserve">Carrie Wright</w:t>
              </w:r>
            </w:hyperlink>
            <w:r>
              <w:t xml:space="preserve">,</w:t>
            </w:r>
            <w:r>
              <w:t xml:space="preserve"> </w:t>
            </w:r>
            <w:hyperlink r:id="rId16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6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62">
              <w:r>
                <w:rPr>
                  <w:rStyle w:val="Hyperlink"/>
                </w:rPr>
                <w:t xml:space="preserve">Carrie Wright</w:t>
              </w:r>
            </w:hyperlink>
            <w:r>
              <w:t xml:space="preserve">,</w:t>
            </w:r>
            <w:r>
              <w:t xml:space="preserve"> </w:t>
            </w:r>
            <w:hyperlink r:id="rId163">
              <w:r>
                <w:rPr>
                  <w:rStyle w:val="Hyperlink"/>
                </w:rPr>
                <w:t xml:space="preserve">Ava Hoffman</w:t>
              </w:r>
            </w:hyperlink>
            <w:r>
              <w:t xml:space="preserve">,</w:t>
            </w:r>
            <w:r>
              <w:t xml:space="preserve"> </w:t>
            </w:r>
            <w:hyperlink r:id="rId161">
              <w:r>
                <w:rPr>
                  <w:rStyle w:val="Hyperlink"/>
                </w:rPr>
                <w:t xml:space="preserve">Candace Savonen</w:t>
              </w:r>
            </w:hyperlink>
          </w:p>
        </w:tc>
      </w:tr>
      <w:tr>
        <w:tc>
          <w:tcPr/>
          <w:p>
            <w:pPr>
              <w:pStyle w:val="Compact"/>
              <w:jc w:val="left"/>
            </w:pPr>
            <w:r>
              <w:t xml:space="preserve">Package Developers (</w:t>
            </w:r>
            <w:hyperlink r:id="rId164">
              <w:r>
                <w:rPr>
                  <w:rStyle w:val="Hyperlink"/>
                </w:rPr>
                <w:t xml:space="preserve">ottrpal</w:t>
              </w:r>
            </w:hyperlink>
            <w:r>
              <w:t xml:space="preserve">)</w:t>
            </w:r>
            <w:r>
              <w:t xml:space="preserve"> </w:t>
            </w:r>
            <w:hyperlink r:id="rId161">
              <w:r>
                <w:rPr>
                  <w:rStyle w:val="Hyperlink"/>
                </w:rPr>
                <w:t xml:space="preserve">Candace Savonen</w:t>
              </w:r>
            </w:hyperlink>
            <w:r>
              <w:t xml:space="preserve">,</w:t>
            </w:r>
            <w:r>
              <w:t xml:space="preserve"> </w:t>
            </w:r>
            <w:hyperlink r:id="rId165">
              <w:r>
                <w:rPr>
                  <w:rStyle w:val="Hyperlink"/>
                </w:rPr>
                <w:t xml:space="preserve">John Muschelli</w:t>
              </w:r>
            </w:hyperlink>
            <w:r>
              <w:t xml:space="preserve">,</w:t>
            </w:r>
            <w:r>
              <w:t xml:space="preserve"> </w:t>
            </w:r>
            <w:hyperlink r:id="rId16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66"/>
    <w:bookmarkStart w:id="167" w:name="references"/>
    <w:p>
      <w:pPr>
        <w:pStyle w:val="Heading1"/>
      </w:pPr>
      <w:r>
        <w:rPr>
          <w:rStyle w:val="SectionNumber"/>
        </w:rPr>
        <w:t xml:space="preserve">5</w:t>
      </w:r>
      <w:r>
        <w:tab/>
      </w:r>
      <w:r>
        <w:t xml:space="preserve">References</w:t>
      </w:r>
    </w:p>
    <w:bookmarkEnd w:id="1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1" Target="media/rId13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98" Target="media/rId98.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119" Target="media/rId119.png" /><Relationship Type="http://schemas.openxmlformats.org/officeDocument/2006/relationships/image" Id="rId124" Target="media/rId124.png" /><Relationship Type="http://schemas.openxmlformats.org/officeDocument/2006/relationships/image" Id="rId126" Target="media/rId126.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147" Target="media/rId147.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4" Target="media/rId154.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2"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40" Target="http://www.amazon.com/Multiple-Procedures-Applications-Genomics-Statistics/dp/0387493166/ref=sr_1_2/102-3292576-129059?ie=UTF8&amp;s=books&amp;qid=1187394873&amp;sr=1-2" TargetMode="External" /><Relationship Type="http://schemas.openxmlformats.org/officeDocument/2006/relationships/hyperlink" Id="rId141" Target="http://www.pnas.org/content/100/16/9440.full" TargetMode="External" /><Relationship Type="http://schemas.openxmlformats.org/officeDocument/2006/relationships/hyperlink" Id="rId162" Target="https://carriewright11.github.io/" TargetMode="External" /><Relationship Type="http://schemas.openxmlformats.org/officeDocument/2006/relationships/hyperlink" Id="rId135" Target="https://en.wikipedia.org/wiki/Bonferroni_correction" TargetMode="External" /><Relationship Type="http://schemas.openxmlformats.org/officeDocument/2006/relationships/hyperlink" Id="rId134"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4"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3" Target="https://imgs.xkcd.com/comics/significant.png" TargetMode="External" /><Relationship Type="http://schemas.openxmlformats.org/officeDocument/2006/relationships/hyperlink" Id="rId165"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63" Target="https://www.avahoffman.com/" TargetMode="External" /><Relationship Type="http://schemas.openxmlformats.org/officeDocument/2006/relationships/hyperlink" Id="rId161" Target="https://www.cansavvy.com/" TargetMode="External" /><Relationship Type="http://schemas.openxmlformats.org/officeDocument/2006/relationships/hyperlink" Id="rId159"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30" Target="https://xkcd.com/882/" TargetMode="External" /><Relationship Type="http://schemas.openxmlformats.org/officeDocument/2006/relationships/hyperlink" Id="rId16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2"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40" Target="http://www.amazon.com/Multiple-Procedures-Applications-Genomics-Statistics/dp/0387493166/ref=sr_1_2/102-3292576-129059?ie=UTF8&amp;s=books&amp;qid=1187394873&amp;sr=1-2" TargetMode="External" /><Relationship Type="http://schemas.openxmlformats.org/officeDocument/2006/relationships/hyperlink" Id="rId141" Target="http://www.pnas.org/content/100/16/9440.full" TargetMode="External" /><Relationship Type="http://schemas.openxmlformats.org/officeDocument/2006/relationships/hyperlink" Id="rId162" Target="https://carriewright11.github.io/" TargetMode="External" /><Relationship Type="http://schemas.openxmlformats.org/officeDocument/2006/relationships/hyperlink" Id="rId135" Target="https://en.wikipedia.org/wiki/Bonferroni_correction" TargetMode="External" /><Relationship Type="http://schemas.openxmlformats.org/officeDocument/2006/relationships/hyperlink" Id="rId134"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4"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3" Target="https://imgs.xkcd.com/comics/significant.png" TargetMode="External" /><Relationship Type="http://schemas.openxmlformats.org/officeDocument/2006/relationships/hyperlink" Id="rId165"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63" Target="https://www.avahoffman.com/" TargetMode="External" /><Relationship Type="http://schemas.openxmlformats.org/officeDocument/2006/relationships/hyperlink" Id="rId161" Target="https://www.cansavvy.com/" TargetMode="External" /><Relationship Type="http://schemas.openxmlformats.org/officeDocument/2006/relationships/hyperlink" Id="rId159"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30" Target="https://xkcd.com/882/" TargetMode="External" /><Relationship Type="http://schemas.openxmlformats.org/officeDocument/2006/relationships/hyperlink" Id="rId16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2023-07-12T05:53:02Z</dcterms:created>
  <dcterms:modified xsi:type="dcterms:W3CDTF">2023-07-12T05:53:02Z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