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6.png" ContentType="image/png"/>
  <Override PartName="/word/media/rId97.png" ContentType="image/png"/>
  <Override PartName="/word/media/rId101.png" ContentType="image/png"/>
  <Override PartName="/word/media/rId102.png" ContentType="image/png"/>
  <Override PartName="/word/media/rId10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4.png" ContentType="image/png"/>
  <Override PartName="/word/media/rId106.png" ContentType="image/png"/>
  <Override PartName="/word/media/rId93.png" ContentType="image/png"/>
  <Override PartName="/word/media/rId95.png" ContentType="image/png"/>
  <Override PartName="/word/media/rId114.png" ContentType="image/png"/>
  <Override PartName="/word/media/rId116.png" ContentType="image/png"/>
  <Override PartName="/word/media/rId118.png" ContentType="image/png"/>
  <Override PartName="/word/media/rId120.png" ContentType="image/png"/>
  <Override PartName="/word/media/rId122.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FunctionTok"/>
        </w:rPr>
        <w:t xml:space="preserve">sd</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n), nosim), </w:t>
      </w:r>
      <w:r>
        <w:rPr>
          <w:rStyle w:val="DecValTok"/>
        </w:rPr>
        <w:t xml:space="preserve">1</w:t>
      </w:r>
      <w:r>
        <w:rPr>
          <w:rStyle w:val="NormalTok"/>
        </w:rPr>
        <w:t xml:space="preserve">, mean))</w:t>
      </w:r>
    </w:p>
    <w:p>
      <w:pPr>
        <w:pStyle w:val="SourceCode"/>
      </w:pPr>
      <w:r>
        <w:rPr>
          <w:rStyle w:val="VerbatimChar"/>
        </w:rPr>
        <w:t xml:space="preserve">## [1] 0.2930196</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r>
        <w:t xml:space="preserve"> </w:t>
      </w:r>
      <w:r>
        <w:drawing>
          <wp:inline>
            <wp:extent cx="5334000" cy="3000375"/>
            <wp:effectExtent b="0" l="0" r="0" t="0"/>
            <wp:docPr descr="Figure 2.3: Cumulative means of coin flips" title="" id="1" name="Picture"/>
            <a:graphic>
              <a:graphicData uri="http://schemas.openxmlformats.org/drawingml/2006/picture">
                <pic:pic>
                  <pic:nvPicPr>
                    <pic:cNvPr descr="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bCs/>
          <w:b/>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0"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r>
        <w:t xml:space="preserve"> </w:t>
      </w: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week_02_files/figure-docx//1U1PiqeXG4XoKmg8hRFJqE1OFDOJfificBz1jLeDunHo_g257d7b8e795_0_10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week_02_files/figure-docx//1U1PiqeXG4XoKmg8hRFJqE1OFDOJfificBz1jLeDunHo_g257d7b8e795_0_10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8"/>
      <w:r>
        <w:t xml:space="preserve">Figure </w:t>
      </w:r>
      <w:fldSimple w:instr="SEQ Figure \* ARABIC ">
        <w:r>
          <w:t>18</w:t>
        </w:r>
      </w:fldSimple>
      <w:r>
        <w:t xml:space="preserve">:</w:t>
      </w:r>
      <w:r>
        <w:t xml:space="preserve"> </w:t>
      </w:r>
      <w:bookmarkEnd w:id="98"/>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99">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0"/>
    <w:bookmarkStart w:id="110"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bCs/>
          <w:b/>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r>
        <w:t xml:space="preserve"> </w:t>
      </w: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week_02_files/figure-docx//1U1PiqeXG4XoKmg8hRFJqE1OFDOJfificBz1jLeDunHo_g257d7b8e795_0_10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bCs/>
          <w:b/>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week_02_files/figure-docx//1U1PiqeXG4XoKmg8hRFJqE1OFDOJfificBz1jLeDunHo_g257d7b8e795_0_11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19"/>
      <w:r>
        <w:t xml:space="preserve">Figure </w:t>
      </w:r>
      <w:fldSimple w:instr="SEQ Figure \* ARABIC ">
        <w:r>
          <w:t>19</w:t>
        </w:r>
      </w:fldSimple>
      <w:r>
        <w:t xml:space="preserve">:</w:t>
      </w:r>
      <w:r>
        <w:t xml:space="preserve"> </w:t>
      </w:r>
      <w:bookmarkEnd w:id="103"/>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week_02_files/figure-docx//1U1PiqeXG4XoKmg8hRFJqE1OFDOJfificBz1jLeDunHo_g257d7b8e795_0_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0"/>
      <w:r>
        <w:t xml:space="preserve">Figure </w:t>
      </w:r>
      <w:fldSimple w:instr="SEQ Figure \* ARABIC ">
        <w:r>
          <w:t>20</w:t>
        </w:r>
      </w:fldSimple>
      <w:r>
        <w:t xml:space="preserve">:</w:t>
      </w:r>
      <w:r>
        <w:t xml:space="preserve"> </w:t>
      </w:r>
      <w:bookmarkEnd w:id="105"/>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week_02_files/figure-docx//1U1PiqeXG4XoKmg8hRFJqE1OFDOJfificBz1jLeDunHo_g257d7b8e795_0_84.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week_02_files/figure-docx//1U1PiqeXG4XoKmg8hRFJqE1OFDOJfificBz1jLeDunHo_g257d7b8e795_0_122.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w:t>
      </w:r>
      <w:r>
        <w:t xml:space="preserve"> </w:t>
      </w:r>
      <w:r>
        <w:t xml:space="preserve">converge to the population means that they are estimating</w:t>
      </w:r>
    </w:p>
    <w:p>
      <w:pPr>
        <w:numPr>
          <w:ilvl w:val="0"/>
          <w:numId w:val="1007"/>
        </w:numPr>
        <w:pStyle w:val="Compact"/>
      </w:pPr>
      <w:r>
        <w:t xml:space="preserve">The CLT states that averages are approximately normal, with</w:t>
      </w:r>
      <w:r>
        <w:t xml:space="preserve"> </w:t>
      </w:r>
      <w:r>
        <w:t xml:space="preserve">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w:t>
      </w:r>
      <w:r>
        <w:t xml:space="preserve"> </w:t>
      </w:r>
      <w:r>
        <w:t xml:space="preserve">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w:t>
      </w:r>
      <w:r>
        <w:t xml:space="preserve"> </w:t>
      </w:r>
      <w:r>
        <w:t xml:space="preserve">(why?)</w:t>
      </w:r>
    </w:p>
    <w:p>
      <w:pPr>
        <w:numPr>
          <w:ilvl w:val="0"/>
          <w:numId w:val="1007"/>
        </w:numPr>
        <w:pStyle w:val="Compact"/>
      </w:pPr>
      <w:r>
        <w:t xml:space="preserve">Confidence intervals get narrower with less variability or</w:t>
      </w:r>
      <w:r>
        <w:t xml:space="preserve"> </w:t>
      </w:r>
      <w:r>
        <w:t xml:space="preserve">larger sample sizes</w:t>
      </w:r>
    </w:p>
    <w:p>
      <w:pPr>
        <w:numPr>
          <w:ilvl w:val="0"/>
          <w:numId w:val="1007"/>
        </w:numPr>
        <w:pStyle w:val="Compact"/>
      </w:pPr>
      <w:r>
        <w:t xml:space="preserve">The Poisson and binomial case have exact intervals that</w:t>
      </w:r>
      <w:r>
        <w:t xml:space="preserve"> </w:t>
      </w:r>
      <w:r>
        <w:t xml:space="preserve">don’t require the CLT</w:t>
      </w:r>
    </w:p>
    <w:p>
      <w:pPr>
        <w:numPr>
          <w:ilvl w:val="1"/>
          <w:numId w:val="1010"/>
        </w:numPr>
        <w:pStyle w:val="Compact"/>
      </w:pPr>
      <w:r>
        <w:t xml:space="preserve">But a quick fix for small sample size binomial calculations is to add 2 successes and failures</w:t>
      </w:r>
    </w:p>
    <w:bookmarkEnd w:id="110"/>
    <w:bookmarkEnd w:id="111"/>
    <w:bookmarkStart w:id="112" w:name="practical-r-exercises-in-swirl-1"/>
    <w:p>
      <w:pPr>
        <w:pStyle w:val="Heading2"/>
      </w:pPr>
      <w:r>
        <w:rPr>
          <w:rStyle w:val="SectionNumber"/>
        </w:rPr>
        <w:t xml:space="preserve">2.3</w:t>
      </w:r>
      <w:r>
        <w:tab/>
      </w:r>
      <w:r>
        <w:t xml:space="preserve">Practical R Exercises in swirl</w:t>
      </w:r>
    </w:p>
    <w:bookmarkEnd w:id="112"/>
    <w:bookmarkEnd w:id="113"/>
    <w:bookmarkStart w:id="13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2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week_03_files/figure-docx//1U1PiqeXG4XoKmg8hRFJqE1OFDOJfificBz1jLeDunHo_g257d7b8e795_0_128.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3"/>
      <w:r>
        <w:t xml:space="preserve">Figure </w:t>
      </w:r>
      <w:fldSimple w:instr="SEQ Figure \* ARABIC ">
        <w:r>
          <w:t>23</w:t>
        </w:r>
      </w:fldSimple>
      <w:r>
        <w:t xml:space="preserve">:</w:t>
      </w:r>
      <w:r>
        <w:t xml:space="preserve"> </w:t>
      </w:r>
      <w:bookmarkEnd w:id="11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week_03_files/figure-docx//1U1PiqeXG4XoKmg8hRFJqE1OFDOJfificBz1jLeDunHo_g257d7b8e795_0_131.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week_03_files/figure-docx//1U1PiqeXG4XoKmg8hRFJqE1OFDOJfificBz1jLeDunHo_g257d7b8e795_0_134.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5"/>
      <w:r>
        <w:t xml:space="preserve">Figure </w:t>
      </w:r>
      <w:fldSimple w:instr="SEQ Figure \* ARABIC ">
        <w:r>
          <w:t>25</w:t>
        </w:r>
      </w:fldSimple>
      <w:r>
        <w:t xml:space="preserve">:</w:t>
      </w:r>
      <w:r>
        <w:t xml:space="preserve"> </w:t>
      </w:r>
      <w:bookmarkEnd w:id="11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week_03_files/figure-docx//1U1PiqeXG4XoKmg8hRFJqE1OFDOJfificBz1jLeDunHo_g257d7b8e795_0_13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6"/>
      <w:r>
        <w:t xml:space="preserve">Figure </w:t>
      </w:r>
      <w:fldSimple w:instr="SEQ Figure \* ARABIC ">
        <w:r>
          <w:t>26</w:t>
        </w:r>
      </w:fldSimple>
      <w:r>
        <w:t xml:space="preserve">:</w:t>
      </w:r>
      <w:r>
        <w:t xml:space="preserve"> </w:t>
      </w:r>
      <w:bookmarkEnd w:id="12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week_03_files/figure-docx//1U1PiqeXG4XoKmg8hRFJqE1OFDOJfificBz1jLeDunHo_g257d7b8e795_0_16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7"/>
      <w:r>
        <w:t xml:space="preserve">Figure </w:t>
      </w:r>
      <w:fldSimple w:instr="SEQ Figure \* ARABIC ">
        <w:r>
          <w:t>27</w:t>
        </w:r>
      </w:fldSimple>
      <w:r>
        <w:t xml:space="preserve">:</w:t>
      </w:r>
      <w:r>
        <w:t xml:space="preserve"> </w:t>
      </w:r>
      <w:bookmarkEnd w:id="12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4"/>
    <w:bookmarkStart w:id="12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5"/>
    <w:bookmarkEnd w:id="126"/>
    <w:bookmarkStart w:id="12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SourceCode"/>
      </w:pPr>
      <w:r>
        <w:rPr>
          <w:rStyle w:val="NormalTok"/>
        </w:rPr>
        <w:t xml:space="preserve">    Two Sample t-test</w:t>
      </w:r>
      <w:r>
        <w:br/>
      </w:r>
      <w:r>
        <w:br/>
      </w:r>
      <w:r>
        <w:rPr>
          <w:rStyle w:val="NormalTok"/>
        </w:rPr>
        <w:t xml:space="preserve">data:  gain by Diet</w:t>
      </w:r>
      <w:r>
        <w:br/>
      </w:r>
      <w:r>
        <w:rPr>
          <w:rStyle w:val="NormalTok"/>
        </w:rPr>
        <w:t xml:space="preserve">t = -2.7252, df = 23, p-value = 0.01207</w:t>
      </w:r>
      <w:r>
        <w:br/>
      </w:r>
      <w:r>
        <w:rPr>
          <w:rStyle w:val="NormalTok"/>
        </w:rPr>
        <w:t xml:space="preserve">alternative hypothesis: true difference in means between group 1 and group 4 is not equal to 0</w:t>
      </w:r>
      <w:r>
        <w:br/>
      </w:r>
      <w:r>
        <w:rPr>
          <w:rStyle w:val="NormalTok"/>
        </w:rPr>
        <w:t xml:space="preserve">95 percent confidence interval:</w:t>
      </w:r>
      <w:r>
        <w:br/>
      </w:r>
      <w:r>
        <w:rPr>
          <w:rStyle w:val="NormalTok"/>
        </w:rPr>
        <w:t xml:space="preserve"> -108.14679  -14.81154</w:t>
      </w:r>
      <w:r>
        <w:br/>
      </w:r>
      <w:r>
        <w:rPr>
          <w:rStyle w:val="NormalTok"/>
        </w:rPr>
        <w:t xml:space="preserve">sample estimates:</w:t>
      </w:r>
      <w:r>
        <w:br/>
      </w:r>
      <w:r>
        <w:rPr>
          <w:rStyle w:val="NormalTok"/>
        </w:rPr>
        <w:t xml:space="preserve">mean in group 1 mean in group 4 </w:t>
      </w:r>
      <w:r>
        <w:br/>
      </w:r>
      <w:r>
        <w:rPr>
          <w:rStyle w:val="NormalTok"/>
        </w:rPr>
        <w:t xml:space="preserve">       136.1875        197.6667 </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7"/>
    <w:bookmarkEnd w:id="128"/>
    <w:bookmarkStart w:id="12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9"/>
    <w:bookmarkStart w:id="13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week_03_files/figure-docx//1U1PiqeXG4XoKmg8hRFJqE1OFDOJfificBz1jLeDunHo_g257d7b8e795_0_163.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1" w:name="fig28"/>
      <w:r>
        <w:t xml:space="preserve">Figure </w:t>
      </w:r>
      <w:fldSimple w:instr="SEQ Figure \* ARABIC ">
        <w:r>
          <w:t>28</w:t>
        </w:r>
      </w:fldSimple>
      <w:r>
        <w:t xml:space="preserve">:</w:t>
      </w:r>
      <w:r>
        <w:t xml:space="preserve"> </w:t>
      </w:r>
      <w:bookmarkEnd w:id="131"/>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2"/>
    <w:bookmarkStart w:id="133"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T Confidence Intervals</w:t>
      </w:r>
    </w:p>
    <w:p>
      <w:pPr>
        <w:numPr>
          <w:ilvl w:val="0"/>
          <w:numId w:val="1011"/>
        </w:numPr>
        <w:pStyle w:val="Compact"/>
      </w:pPr>
      <w:r>
        <w:t xml:space="preserve">Hypothesis Testing</w:t>
      </w:r>
    </w:p>
    <w:p>
      <w:pPr>
        <w:numPr>
          <w:ilvl w:val="0"/>
          <w:numId w:val="1011"/>
        </w:numPr>
        <w:pStyle w:val="Compact"/>
      </w:pPr>
      <w:r>
        <w:t xml:space="preserve">P Values</w:t>
      </w:r>
    </w:p>
    <w:bookmarkEnd w:id="133"/>
    <w:bookmarkEnd w:id="134"/>
    <w:bookmarkStart w:id="142" w:name="about-the-authors"/>
    <w:p>
      <w:pPr>
        <w:pStyle w:val="Heading1"/>
      </w:pPr>
      <w:r>
        <w:t xml:space="preserve">About the Authors</w:t>
      </w:r>
    </w:p>
    <w:p>
      <w:pPr>
        <w:pStyle w:val="FirstParagraph"/>
      </w:pPr>
      <w:r>
        <w:t xml:space="preserve">These credits are based on our</w:t>
      </w:r>
      <w:r>
        <w:t xml:space="preserve"> </w:t>
      </w:r>
      <w:hyperlink r:id="rId13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3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37">
              <w:r>
                <w:rPr>
                  <w:rStyle w:val="Hyperlink"/>
                </w:rPr>
                <w:t xml:space="preserve">Candace Savonen</w:t>
              </w:r>
            </w:hyperlink>
            <w:r>
              <w:t xml:space="preserve">,</w:t>
            </w:r>
            <w:r>
              <w:t xml:space="preserve"> </w:t>
            </w:r>
            <w:hyperlink r:id="rId138">
              <w:r>
                <w:rPr>
                  <w:rStyle w:val="Hyperlink"/>
                </w:rPr>
                <w:t xml:space="preserve">Carrie Wright</w:t>
              </w:r>
            </w:hyperlink>
            <w:r>
              <w:t xml:space="preserve">,</w:t>
            </w:r>
            <w:r>
              <w:t xml:space="preserve"> </w:t>
            </w:r>
            <w:hyperlink r:id="rId13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3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8">
              <w:r>
                <w:rPr>
                  <w:rStyle w:val="Hyperlink"/>
                </w:rPr>
                <w:t xml:space="preserve">Carrie Wright</w:t>
              </w:r>
            </w:hyperlink>
            <w:r>
              <w:t xml:space="preserve">,</w:t>
            </w:r>
            <w:r>
              <w:t xml:space="preserve"> </w:t>
            </w:r>
            <w:hyperlink r:id="rId139">
              <w:r>
                <w:rPr>
                  <w:rStyle w:val="Hyperlink"/>
                </w:rPr>
                <w:t xml:space="preserve">Ava Hoffman</w:t>
              </w:r>
            </w:hyperlink>
            <w:r>
              <w:t xml:space="preserve">,</w:t>
            </w:r>
            <w:r>
              <w:t xml:space="preserve"> </w:t>
            </w:r>
            <w:hyperlink r:id="rId137">
              <w:r>
                <w:rPr>
                  <w:rStyle w:val="Hyperlink"/>
                </w:rPr>
                <w:t xml:space="preserve">Candace Savonen</w:t>
              </w:r>
            </w:hyperlink>
          </w:p>
        </w:tc>
      </w:tr>
      <w:tr>
        <w:tc>
          <w:tcPr/>
          <w:p>
            <w:pPr>
              <w:pStyle w:val="Compact"/>
              <w:jc w:val="left"/>
            </w:pPr>
            <w:r>
              <w:t xml:space="preserve">Package Developers (</w:t>
            </w:r>
            <w:hyperlink r:id="rId140">
              <w:r>
                <w:rPr>
                  <w:rStyle w:val="Hyperlink"/>
                </w:rPr>
                <w:t xml:space="preserve">ottrpal</w:t>
              </w:r>
            </w:hyperlink>
            <w:r>
              <w:t xml:space="preserve">)</w:t>
            </w:r>
            <w:r>
              <w:t xml:space="preserve"> </w:t>
            </w:r>
            <w:hyperlink r:id="rId137">
              <w:r>
                <w:rPr>
                  <w:rStyle w:val="Hyperlink"/>
                </w:rPr>
                <w:t xml:space="preserve">Candace Savonen</w:t>
              </w:r>
            </w:hyperlink>
            <w:r>
              <w:t xml:space="preserve">,</w:t>
            </w:r>
            <w:r>
              <w:t xml:space="preserve"> </w:t>
            </w:r>
            <w:hyperlink r:id="rId141">
              <w:r>
                <w:rPr>
                  <w:rStyle w:val="Hyperlink"/>
                </w:rPr>
                <w:t xml:space="preserve">John Muschelli</w:t>
              </w:r>
            </w:hyperlink>
            <w:r>
              <w:t xml:space="preserve">,</w:t>
            </w:r>
            <w:r>
              <w:t xml:space="preserve"> </w:t>
            </w:r>
            <w:hyperlink r:id="rId13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2"/>
    <w:bookmarkStart w:id="143" w:name="references"/>
    <w:p>
      <w:pPr>
        <w:pStyle w:val="Heading1"/>
      </w:pPr>
      <w:r>
        <w:rPr>
          <w:rStyle w:val="SectionNumber"/>
        </w:rPr>
        <w:t xml:space="preserve">4</w:t>
      </w:r>
      <w:r>
        <w:tab/>
      </w:r>
      <w:r>
        <w:t xml:space="preserve">References</w:t>
      </w:r>
    </w:p>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30" Target="media/rId130.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77" Target="http://swirlstats.com/" TargetMode="External" /><Relationship Type="http://schemas.openxmlformats.org/officeDocument/2006/relationships/hyperlink" Id="rId138" Target="https://carriewright11.github.io/"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40"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1"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39" Target="https://www.avahoffman.com/" TargetMode="External" /><Relationship Type="http://schemas.openxmlformats.org/officeDocument/2006/relationships/hyperlink" Id="rId137" Target="https://www.cansavvy.com/" TargetMode="External" /><Relationship Type="http://schemas.openxmlformats.org/officeDocument/2006/relationships/hyperlink" Id="rId135"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77" Target="http://swirlstats.com/" TargetMode="External" /><Relationship Type="http://schemas.openxmlformats.org/officeDocument/2006/relationships/hyperlink" Id="rId138" Target="https://carriewright11.github.io/"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40"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1"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39" Target="https://www.avahoffman.com/" TargetMode="External" /><Relationship Type="http://schemas.openxmlformats.org/officeDocument/2006/relationships/hyperlink" Id="rId137" Target="https://www.cansavvy.com/" TargetMode="External" /><Relationship Type="http://schemas.openxmlformats.org/officeDocument/2006/relationships/hyperlink" Id="rId135"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2023-07-12T02:34:45Z</dcterms:created>
  <dcterms:modified xsi:type="dcterms:W3CDTF">2023-07-12T02:34:45Z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