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6.png" ContentType="image/png"/>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98.png" ContentType="image/png"/>
  <Override PartName="/word/media/rId100.png" ContentType="image/png"/>
  <Override PartName="/word/media/rId104.png" ContentType="image/png"/>
  <Override PartName="/word/media/rId106.png" ContentType="image/png"/>
  <Override PartName="/word/media/rId112.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108.png" ContentType="image/png"/>
  <Override PartName="/word/media/rId110.png" ContentType="image/png"/>
  <Override PartName="/word/media/rId93.png" ContentType="image/png"/>
  <Override PartName="/word/media/rId95.png" ContentType="image/png"/>
  <Override PartName="/word/media/rId118.png" ContentType="image/png"/>
  <Override PartName="/word/media/rId120.png" ContentType="image/png"/>
  <Override PartName="/word/media/rId122.png" ContentType="image/png"/>
  <Override PartName="/word/media/rId124.png" ContentType="image/png"/>
  <Override PartName="/word/media/rId126.png" ContentType="image/png"/>
  <Override PartName="/word/media/rId134.png" ContentType="image/png"/>
  <Override PartName="/word/media/rId139.png" ContentType="image/png"/>
  <Override PartName="/word/media/rId141.png" ContentType="image/png"/>
  <Override PartName="/word/media/rId151.png" ContentType="image/png"/>
  <Override PartName="/word/media/rId153.png" ContentType="image/png"/>
  <Override PartName="/word/media/rId158.png" ContentType="image/png"/>
  <Override PartName="/word/media/rId160.png" ContentType="image/png"/>
  <Override PartName="/word/media/rId162.png" ContentType="image/png"/>
  <Override PartName="/word/media/rId164.png" ContentType="image/png"/>
  <Override PartName="/word/media/rId167.png" ContentType="image/png"/>
  <Override PartName="/word/media/rId1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117" w:name="variability-distribution-asymptotics"/>
    <w:p>
      <w:pPr>
        <w:pStyle w:val="Heading1"/>
      </w:pPr>
      <w:r>
        <w:rPr>
          <w:rStyle w:val="SectionNumber"/>
        </w:rPr>
        <w:t xml:space="preserve">2</w:t>
      </w:r>
      <w:r>
        <w:tab/>
      </w:r>
      <w:r>
        <w:t xml:space="preserve">Variability, Distribution, &amp; Asymptotics</w:t>
      </w:r>
    </w:p>
    <w:bookmarkStart w:id="92"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resources/images/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resources/images/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resources/images/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VerbatimChar"/>
        </w:rPr>
        <w:t xml:space="preserve">## [1] 0.3192829</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resources/images/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iCs/>
          <w:i/>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resources/images/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w:t>
      </w:r>
      <w:r>
        <w:t xml:space="preserve"> </w:t>
      </w:r>
      <m:oMath>
        <m:r>
          <m:t>x</m:t>
        </m:r>
      </m:oMath>
      <w:r>
        <w:t xml:space="preserve">?</w:t>
      </w:r>
      <w:r>
        <w:t xml:space="preserve"> </w:t>
      </w:r>
      <w:r>
        <w:t xml:space="preserve">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w:t>
      </w:r>
      <w:r>
        <w:t xml:space="preserve"> </w:t>
      </w:r>
      <m:oMath>
        <m:d>
          <m:dPr>
            <m:begChr m:val="("/>
            <m:endChr m:val=")"/>
            <m:sepChr m:val=""/>
            <m:grow/>
          </m:dPr>
          <m:e>
            <m:r>
              <m:t>σ</m:t>
            </m:r>
          </m:e>
        </m:d>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Start w:id="91" w:name="poisson-distribution"/>
    <w:p>
      <w:pPr>
        <w:pStyle w:val="Heading3"/>
      </w:pPr>
      <w:r>
        <w:rPr>
          <w:rStyle w:val="SectionNumber"/>
        </w:rPr>
        <w:t xml:space="preserve">2.1.3</w:t>
      </w:r>
      <w:r>
        <w:tab/>
      </w:r>
      <w:r>
        <w:t xml:space="preserve">Poisson distribution</w:t>
      </w:r>
    </w:p>
    <w:p>
      <w:pPr>
        <w:pStyle w:val="FirstParagraph"/>
      </w:pPr>
      <w:r>
        <w:t xml:space="preserve">If there were a competition to determine the most useful distribution, the normal distribution would unquestionably win by a wide margin. However, selecting the second most useful distribution would spark a lively debate, with the Poisson distribution being a strong contender. The Poisson distribution is commonly employed to model counts, and its probability mass function is given by</w:t>
      </w:r>
    </w:p>
    <w:p>
      <w:pPr>
        <w:pStyle w:val="BodyText"/>
      </w:pPr>
      <m:oMathPara>
        <m:oMathParaPr>
          <m:jc m:val="center"/>
        </m:oMathParaPr>
        <m:oMath>
          <m:r>
            <m:t>P</m:t>
          </m:r>
          <m:d>
            <m:dPr>
              <m:begChr m:val="("/>
              <m:endChr m:val=")"/>
              <m:sepChr m:val=""/>
              <m:grow/>
            </m:dPr>
            <m:e>
              <m:r>
                <m:t>X</m:t>
              </m:r>
              <m:r>
                <m:rPr>
                  <m:sty m:val="p"/>
                </m:rPr>
                <m:t>=</m:t>
              </m:r>
              <m:r>
                <m:t>x</m:t>
              </m:r>
              <m:r>
                <m:rPr>
                  <m:sty m:val="p"/>
                </m:rPr>
                <m:t>;</m:t>
              </m:r>
              <m:r>
                <m:t>λ</m:t>
              </m:r>
            </m:e>
          </m:d>
          <m:r>
            <m:rPr>
              <m:sty m:val="p"/>
            </m:rPr>
            <m:t>=</m:t>
          </m:r>
          <m:f>
            <m:fPr>
              <m:type m:val="bar"/>
            </m:fPr>
            <m:num>
              <m:sSup>
                <m:e>
                  <m:r>
                    <m:t>λ</m:t>
                  </m:r>
                </m:e>
                <m:sup>
                  <m:r>
                    <m:t>x</m:t>
                  </m:r>
                </m:sup>
              </m:sSup>
              <m:sSup>
                <m:e>
                  <m:r>
                    <m:t>e</m:t>
                  </m:r>
                </m:e>
                <m:sup>
                  <m:r>
                    <m:rPr>
                      <m:sty m:val="p"/>
                    </m:rPr>
                    <m:t>−</m:t>
                  </m:r>
                  <m:r>
                    <m:t>λ</m:t>
                  </m:r>
                </m:sup>
              </m:sSup>
            </m:num>
            <m:den>
              <m:r>
                <m:t>x</m:t>
              </m:r>
              <m:r>
                <m:rPr>
                  <m:sty m:val="p"/>
                </m:rPr>
                <m:t>!</m:t>
              </m:r>
            </m:den>
          </m:f>
        </m:oMath>
      </m:oMathPara>
    </w:p>
    <w:p>
      <w:pPr>
        <w:pStyle w:val="FirstParagraph"/>
      </w:pPr>
      <w:r>
        <w:t xml:space="preserve">where x represents non-negative integers (0, 1, 2, and so on).</w:t>
      </w:r>
      <w:r>
        <w:t xml:space="preserve"> </w:t>
      </w:r>
      <w:r>
        <w:t xml:space="preserve">The mean of a Poisson random variable is equal to</w:t>
      </w:r>
      <w:r>
        <w:t xml:space="preserve"> </w:t>
      </w:r>
      <m:oMath>
        <m:r>
          <m:t>λ</m:t>
        </m:r>
      </m:oMath>
      <w:r>
        <w:t xml:space="preserve">, and the variance also equals</w:t>
      </w:r>
      <w:r>
        <w:t xml:space="preserve"> </w:t>
      </w:r>
      <m:oMath>
        <m:r>
          <m:t>λ</m:t>
        </m:r>
      </m:oMath>
      <w:r>
        <w:t xml:space="preserve">. When modeling with Poisson data, the mean and variance must be equal a condition that can be verified if one has repeated Poisson data.</w:t>
      </w:r>
    </w:p>
    <w:p>
      <w:pPr>
        <w:pStyle w:val="BodyText"/>
      </w:pPr>
      <w:r>
        <w:t xml:space="preserve">The Poisson distribution finds utility in various instances. Whenever count data needs to be modeled, especially when the counts are unbounded, the Poisson distribution is a suitable choice. Another prevalent application arises in the field of biostatistics, where event time or survival data is common. For example, in cancer trials, the time until the recurrence of symptoms is modeled using statistical techniques that account for censoring, and these techniques have a strong association with the Poisson distribution. Additionally, when classifying a sample of people based on certain characteristics, creating a contingency table—such as tabulating hair color by race—the Poisson distribution is the default choice for modeling such data. The Poisson distribution is deeply connected to other models, including multinomials and binomials, which might be considered as alternatives.</w:t>
      </w:r>
    </w:p>
    <w:p>
      <w:pPr>
        <w:pStyle w:val="BodyText"/>
      </w:pPr>
      <w:r>
        <w:t xml:space="preserve">Another prominent application of the Poisson distribution, though often overlooked due to its commonplace usage, is in cases where a binomial distribution is approximated by the Poisson distribution. This occurs when the sample size (n) is large, and the probability of success (p) is small. Epidemiology, for instance, frequently employs this approximation when dealing with situations where n is large (representing a population) and p is small (indicating the occurrence of rare events). By assuming a Poisson distribution, researchers can effectively model the occurrence rates of events, such as the number of new cases of respiratory diseases in a city as air pollution levels fluctuate. This practice is so prevalent that it is commonly understood within the field without explicit mention.</w:t>
      </w:r>
    </w:p>
    <w:p>
      <w:pPr>
        <w:pStyle w:val="BodyText"/>
      </w:pPr>
      <w:r>
        <w:t xml:space="preserve">Example: The number of people showing up at a bus stop follows a Poisson distribution with a mean of 2.5 people per hour. If we observe the bus stop for four hours, we can calculate the probability of three or fewer people showing up during that entire duration. To do this, we apply the Poisson probability formula to the values of three, two, one, and zero, using a rate of 2.5 events per hour multiplied by four hours. The resulting probability is approximately 1%.</w:t>
      </w:r>
    </w:p>
    <w:p>
      <w:pPr>
        <w:pStyle w:val="SourceCode"/>
      </w:pPr>
      <w:r>
        <w:rPr>
          <w:rStyle w:val="FunctionTok"/>
        </w:rPr>
        <w:t xml:space="preserve">ppois</w:t>
      </w:r>
      <w:r>
        <w:rPr>
          <w:rStyle w:val="NormalTok"/>
        </w:rPr>
        <w:t xml:space="preserve">(</w:t>
      </w:r>
      <w:r>
        <w:rPr>
          <w:rStyle w:val="DecValTok"/>
        </w:rPr>
        <w:t xml:space="preserve">3</w:t>
      </w:r>
      <w:r>
        <w:rPr>
          <w:rStyle w:val="NormalTok"/>
        </w:rPr>
        <w:t xml:space="preserve">, </w:t>
      </w:r>
      <w:r>
        <w:rPr>
          <w:rStyle w:val="AttributeTok"/>
        </w:rPr>
        <w:t xml:space="preserve">lambda =</w:t>
      </w:r>
      <w:r>
        <w:rPr>
          <w:rStyle w:val="NormalTok"/>
        </w:rPr>
        <w:t xml:space="preserve"> </w:t>
      </w:r>
      <w:r>
        <w:rPr>
          <w:rStyle w:val="FloatTok"/>
        </w:rPr>
        <w:t xml:space="preserve">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p>
      <w:pPr>
        <w:pStyle w:val="FirstParagraph"/>
      </w:pPr>
      <w:r>
        <w:t xml:space="preserve">Furthermore, we can discuss the Poisson approximation to the binomial distribution, specifically when the sample size (n) is large, and the probability of success (p) is small. In this scenario, the Poisson distribution can serve as a reasonably accurate approximation for the binomial distribution. To establish notation, let x represent a binomial distribution with parameters n and p, and define</w:t>
      </w:r>
      <w:r>
        <w:t xml:space="preserve"> </w:t>
      </w:r>
      <m:oMath>
        <m:r>
          <m:t>λ</m:t>
        </m:r>
        <m:r>
          <m:rPr>
            <m:sty m:val="p"/>
          </m:rPr>
          <m:t>=</m:t>
        </m:r>
        <m:r>
          <m:t>n</m:t>
        </m:r>
        <m:r>
          <m:rPr>
            <m:sty m:val="p"/>
          </m:rPr>
          <m:t>*</m:t>
        </m:r>
        <m:r>
          <m:t>p</m:t>
        </m:r>
      </m:oMath>
      <w:r>
        <w:t xml:space="preserve">. When n is large and p is small, it is proposed that the probability distribution governing x can be well approximated using Poisson probabilities, where the rate parameter λ is determined as n times p.</w:t>
      </w:r>
    </w:p>
    <w:p>
      <w:pPr>
        <w:pStyle w:val="BodyText"/>
      </w:pPr>
      <w:r>
        <w:t xml:space="preserve">Example: In flipping a coin with a success probability of 0.01 for a total of 500 times, we want to calculate the probability of obtaining two or fewer successes. Using the binomial distribution with size 500 and probability 0.01, we obtain approximately 12%. By employing the Poisson approximation with a rate of λ = 500 * 0.01, the result is around 12.5%, which is reasonably close to the binomial calculation.</w:t>
      </w:r>
    </w:p>
    <w:p>
      <w:pPr>
        <w:pStyle w:val="SourceCode"/>
      </w:pPr>
      <w:r>
        <w:rPr>
          <w:rStyle w:val="FunctionTok"/>
        </w:rPr>
        <w:t xml:space="preserve">pbinom</w:t>
      </w:r>
      <w:r>
        <w:rPr>
          <w:rStyle w:val="NormalTok"/>
        </w:rPr>
        <w:t xml:space="preserve">(</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 </w:t>
      </w:r>
      <w:r>
        <w:rPr>
          <w:rStyle w:val="AttributeTok"/>
        </w:rPr>
        <w:t xml:space="preserve">prob =</w:t>
      </w:r>
      <w:r>
        <w:rPr>
          <w:rStyle w:val="NormalTok"/>
        </w:rPr>
        <w:t xml:space="preserve"> .</w:t>
      </w:r>
      <w:r>
        <w:rPr>
          <w:rStyle w:val="DecValTok"/>
        </w:rPr>
        <w:t xml:space="preserve">01</w:t>
      </w:r>
      <w:r>
        <w:rPr>
          <w:rStyle w:val="NormalTok"/>
        </w:rPr>
        <w:t xml:space="preserve">)</w:t>
      </w:r>
      <w:r>
        <w:br/>
      </w:r>
      <w:r>
        <w:rPr>
          <w:rStyle w:val="FunctionTok"/>
        </w:rPr>
        <w:t xml:space="preserve">ppois</w:t>
      </w:r>
      <w:r>
        <w:rPr>
          <w:rStyle w:val="NormalTok"/>
        </w:rPr>
        <w:t xml:space="preserve">(</w:t>
      </w:r>
      <w:r>
        <w:rPr>
          <w:rStyle w:val="DecValTok"/>
        </w:rPr>
        <w:t xml:space="preserve">2</w:t>
      </w:r>
      <w:r>
        <w:rPr>
          <w:rStyle w:val="NormalTok"/>
        </w:rPr>
        <w:t xml:space="preserve">, </w:t>
      </w:r>
      <w:r>
        <w:rPr>
          <w:rStyle w:val="AttributeTok"/>
        </w:rPr>
        <w:t xml:space="preserve">lambda=</w:t>
      </w:r>
      <w:r>
        <w:rPr>
          <w:rStyle w:val="DecValTok"/>
        </w:rPr>
        <w:t xml:space="preserve">500</w:t>
      </w:r>
      <w:r>
        <w:rPr>
          <w:rStyle w:val="NormalTok"/>
        </w:rPr>
        <w:t xml:space="preserve"> </w:t>
      </w:r>
      <w:r>
        <w:rPr>
          <w:rStyle w:val="SpecialCharTok"/>
        </w:rPr>
        <w:t xml:space="preserve">*</w:t>
      </w:r>
      <w:r>
        <w:rPr>
          <w:rStyle w:val="NormalTok"/>
        </w:rPr>
        <w:t xml:space="preserve"> .</w:t>
      </w:r>
      <w:r>
        <w:rPr>
          <w:rStyle w:val="DecValTok"/>
        </w:rPr>
        <w:t xml:space="preserve">01</w:t>
      </w:r>
      <w:r>
        <w:rPr>
          <w:rStyle w:val="NormalTok"/>
        </w:rPr>
        <w:t xml:space="preserve">)</w:t>
      </w:r>
    </w:p>
    <w:bookmarkEnd w:id="91"/>
    <w:bookmarkEnd w:id="92"/>
    <w:bookmarkStart w:id="115" w:name="asymptotics"/>
    <w:p>
      <w:pPr>
        <w:pStyle w:val="Heading2"/>
      </w:pPr>
      <w:r>
        <w:rPr>
          <w:rStyle w:val="SectionNumber"/>
        </w:rPr>
        <w:t xml:space="preserve">2.2</w:t>
      </w:r>
      <w:r>
        <w:tab/>
      </w:r>
      <w:r>
        <w:t xml:space="preserve">Asymptotics</w:t>
      </w:r>
    </w:p>
    <w:p>
      <w:pPr>
        <w:pStyle w:val="FirstParagraph"/>
      </w:pPr>
      <w:r>
        <w:t xml:space="preserve">Asymptotics are an important topics in statistics. Asymptotics refers to the behavior of estimators as the sample size goes to infinity. Our very notion of probability depends on the idea of asymptotics. For example, many people define probability as the proportion of times an event would occur in infinite repetitions. That is, the probability of a head on a coin is 50% because we believe that if we were to flip it infinitely many times, we would get exactly 50% heads.</w:t>
      </w:r>
    </w:p>
    <w:p>
      <w:pPr>
        <w:pStyle w:val="BodyText"/>
      </w:pPr>
      <w:r>
        <w:t xml:space="preserve">We can use asymptotics to help is figure out things about distributions without knowing much about them to begin with. A profound idea along these lines is the</w:t>
      </w:r>
      <w:r>
        <w:t xml:space="preserve"> </w:t>
      </w:r>
      <w:r>
        <w:rPr>
          <w:iCs/>
          <w:i/>
        </w:rPr>
        <w:t xml:space="preserve">Central Limit Theorem</w:t>
      </w:r>
      <w:r>
        <w:t xml:space="preserve">. It states that the distribution of averages is often normal, even if the distribution that the data is being sampled from is very non-normal. This helps us create robust strategies for creating statistical inferences when we’re not willing to assume much about the generating mechanism of our data.</w:t>
      </w:r>
    </w:p>
    <w:bookmarkStart w:id="97" w:name="asymptotics-and-lln"/>
    <w:p>
      <w:pPr>
        <w:pStyle w:val="Heading3"/>
      </w:pPr>
      <w:r>
        <w:rPr>
          <w:rStyle w:val="SectionNumber"/>
        </w:rPr>
        <w:t xml:space="preserve">2.2.1</w:t>
      </w:r>
      <w:r>
        <w:tab/>
      </w:r>
      <w:r>
        <w:t xml:space="preserve">Asymptotics and LLN</w:t>
      </w:r>
    </w:p>
    <w:p>
      <w:pPr>
        <w:pStyle w:val="FirstParagraph"/>
      </w:pPr>
      <w:r>
        <w:t xml:space="preserve">Here we will explore the behavior of statistics as the sample size or some other relevant quantity approaches infinity, which is known as asymptotics. Specifically, we will discuss the case where the sample size tends to infinity.</w:t>
      </w:r>
    </w:p>
    <w:p>
      <w:pPr>
        <w:pStyle w:val="BodyText"/>
      </w:pPr>
      <w:r>
        <w:t xml:space="preserve">In the land of asymptopia, everything works out well because there is an infinite amount of data available. Asymptotics play a crucial role in simple statistical inference and approximations. They serve as a versatile tool, akin to a Swiss army knife, allowing us to investigate the statistical properties of various statistics without requiring extensive computations. Asymptotics form the foundation for the frequency interpretation of probabilities. For instance, intuitively, we know that if we flip a coin and calculate the proportion of heads, it should approach 0.5 for a fair coin.</w:t>
      </w:r>
    </w:p>
    <w:p>
      <w:pPr>
        <w:pStyle w:val="BodyText"/>
      </w:pPr>
      <w:r>
        <w:t xml:space="preserve">Fortunately, we don’t have to delve into the mathematical intricacies of the limits of random variables. Instead, we can rely on a set of powerful tools that enable us to discuss the behavior of sample means from a collection of independently and identically distributed (iid) observations in large samples. One of these tools is the law of large numbers, which states that the average of the observations converges to the population mean it is estimating. For example, if we repeatedly flip a fair coin, the sample proportion of heads will eventually converge to the true probability of a head.</w:t>
      </w:r>
    </w:p>
    <w:p>
      <w:pPr>
        <w:pStyle w:val="BodyText"/>
      </w:pPr>
      <w:r>
        <w:t xml:space="preserve">Example: We’ll generate a large number of random normal variables and calculate their cumulative means. Initially, there is considerable variability in the means, but as the number of simulations increases, the cumulative means converge towards the true population mean of zero.</w:t>
      </w:r>
    </w:p>
    <w:p>
      <w:pPr>
        <w:pStyle w:val="CaptionedFigure"/>
      </w:pPr>
      <w:r>
        <w:drawing>
          <wp:inline>
            <wp:extent cx="5334000" cy="3000375"/>
            <wp:effectExtent b="0" l="0" r="0" t="0"/>
            <wp:docPr descr="Figure 2.2: Cumulative means of random normal variables" title="" id="1" name="Picture"/>
            <a:graphic>
              <a:graphicData uri="http://schemas.openxmlformats.org/drawingml/2006/picture">
                <pic:pic>
                  <pic:nvPicPr>
                    <pic:cNvPr descr="resources/images/week_02_files/figure-docx//1U1PiqeXG4XoKmg8hRFJqE1OFDOJfificBz1jLeDunHo_g257d7b8e795_0_95.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4" w:name="fig17"/>
      <w:r>
        <w:t xml:space="preserve">Figure </w:t>
      </w:r>
      <w:fldSimple w:instr="SEQ Figure \* ARABIC ">
        <w:r>
          <w:t>17</w:t>
        </w:r>
      </w:fldSimple>
      <w:r>
        <w:t xml:space="preserve">:</w:t>
      </w:r>
      <w:r>
        <w:t xml:space="preserve"> </w:t>
      </w:r>
      <w:bookmarkEnd w:id="94"/>
      <w:r>
        <w:t xml:space="preserve">Figure 2.2: Cumulative means of random normal variables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10000</w:t>
      </w:r>
      <w:r>
        <w:rPr>
          <w:rStyle w:val="NormalTok"/>
        </w:rPr>
        <w:t xml:space="preserve">; 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Similarly, we can apply the law of large numbers to the case of coin flipping. By repeatedly flipping a coin and calculating the cumulative means, we observe that the sample proportion of heads converges to the true value of 0.5 as the number of coin flips increases.</w:t>
      </w:r>
    </w:p>
    <w:p>
      <w:pPr>
        <w:pStyle w:val="CaptionedFigure"/>
      </w:pPr>
      <w:r>
        <w:drawing>
          <wp:inline>
            <wp:extent cx="5334000" cy="3000375"/>
            <wp:effectExtent b="0" l="0" r="0" t="0"/>
            <wp:docPr descr="Figure 2.3: Cumulative means of coin flips" title="" id="1" name="Picture"/>
            <a:graphic>
              <a:graphicData uri="http://schemas.openxmlformats.org/drawingml/2006/picture">
                <pic:pic>
                  <pic:nvPicPr>
                    <pic:cNvPr descr="resources/images/week_02_files/figure-docx//1U1PiqeXG4XoKmg8hRFJqE1OFDOJfificBz1jLeDunHo_g257d7b8e795_0_98.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6" w:name="fig18"/>
      <w:r>
        <w:t xml:space="preserve">Figure </w:t>
      </w:r>
      <w:fldSimple w:instr="SEQ Figure \* ARABIC ">
        <w:r>
          <w:t>18</w:t>
        </w:r>
      </w:fldSimple>
      <w:r>
        <w:t xml:space="preserve">:</w:t>
      </w:r>
      <w:r>
        <w:t xml:space="preserve"> </w:t>
      </w:r>
      <w:bookmarkEnd w:id="96"/>
      <w:r>
        <w:t xml:space="preserve">Figure 2.3: Cumulative means of coin flips</w:t>
      </w:r>
    </w:p>
    <w:p>
      <w:pPr>
        <w:pStyle w:val="SourceCode"/>
      </w:pPr>
      <w:r>
        <w:rPr>
          <w:rStyle w:val="NormalTok"/>
        </w:rPr>
        <w:t xml:space="preserve">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sample</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n ,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Note: An estimator is considered</w:t>
      </w:r>
      <w:r>
        <w:t xml:space="preserve"> </w:t>
      </w:r>
      <w:r>
        <w:rPr>
          <w:iCs/>
          <w:i/>
        </w:rPr>
        <w:t xml:space="preserve">consistent</w:t>
      </w:r>
      <w:r>
        <w:t xml:space="preserve"> </w:t>
      </w:r>
      <w:r>
        <w:t xml:space="preserve">if it converges to the parameter it aims to estimate. For instance, the sample proportion from iid coin flips is consistent for estimating the true success probability of a coin. As we collect more and more coin flip data, the sample proportion of heads approaches the actual probability of obtaining a head. Moreover, not only are sample means consistent estimators, but the sample variance and sample standard deviation of iid random variables are also consistent estimators.</w:t>
      </w:r>
    </w:p>
    <w:p>
      <w:pPr>
        <w:pStyle w:val="BodyText"/>
      </w:pPr>
      <w:r>
        <w:t xml:space="preserve">The law of large numbers guarantees the consistency of sample means, but it also applies to sample variances and standard deviations of iid random variables. In other words, these estimators also converge to their respective population counterparts as the sample size increases.</w:t>
      </w:r>
    </w:p>
    <w:bookmarkEnd w:id="97"/>
    <w:bookmarkStart w:id="103" w:name="asymptotics-and-the-clt"/>
    <w:p>
      <w:pPr>
        <w:pStyle w:val="Heading3"/>
      </w:pPr>
      <w:r>
        <w:rPr>
          <w:rStyle w:val="SectionNumber"/>
        </w:rPr>
        <w:t xml:space="preserve">2.2.2</w:t>
      </w:r>
      <w:r>
        <w:tab/>
      </w:r>
      <w:r>
        <w:t xml:space="preserve">Asymptotics and the CLT</w:t>
      </w:r>
    </w:p>
    <w:p>
      <w:pPr>
        <w:pStyle w:val="FirstParagraph"/>
      </w:pPr>
      <w:r>
        <w:t xml:space="preserve">The Central Limit Theorem (CLT) is perhaps the most important theorem in statistics. It states that the distribution of averages of iid random variables becomes approximately standard normal as the sample size grows. The Central Limit Theorem is remarkably versatile, applying to a wide range of populations. Its loose requirements make it applicable in numerous settings.</w:t>
      </w:r>
    </w:p>
    <w:p>
      <w:pPr>
        <w:pStyle w:val="BodyText"/>
      </w:pPr>
      <w:r>
        <w:t xml:space="preserve">To understand the Central Limit Theorem, let’s consider an estimate like the sample average</w:t>
      </w:r>
      <w:r>
        <w:t xml:space="preserve"> </w:t>
      </w:r>
      <m:oMath>
        <m:acc>
          <m:accPr>
            <m:chr m:val="‾"/>
          </m:accPr>
          <m:e>
            <m:r>
              <m:t>X</m:t>
            </m:r>
          </m:e>
        </m:acc>
      </m:oMath>
      <w:r>
        <w:t xml:space="preserve">. If we subtract its population mean and divide by its standard error the resulting random variable approaches a standard normal distribution as the sample size increases.</w:t>
      </w:r>
    </w:p>
    <w:p>
      <w:pPr>
        <w:pStyle w:val="BodyText"/>
      </w:pPr>
      <m:oMathPara>
        <m:oMathParaPr>
          <m:jc m:val="center"/>
        </m:oMathParaPr>
        <m:oMath>
          <m:f>
            <m:fPr>
              <m:type m:val="bar"/>
            </m:fPr>
            <m:num>
              <m:acc>
                <m:accPr>
                  <m:chr m:val="‾"/>
                </m:accPr>
                <m:e>
                  <m:sSub>
                    <m:e>
                      <m:r>
                        <m:t>X</m:t>
                      </m:r>
                    </m:e>
                    <m:sub>
                      <m:r>
                        <m:t>n</m:t>
                      </m:r>
                    </m:sub>
                  </m:sSub>
                </m:e>
              </m:acc>
              <m:r>
                <m:rPr>
                  <m:sty m:val="p"/>
                </m:rPr>
                <m:t>−</m:t>
              </m:r>
              <m:r>
                <m:t>μ</m:t>
              </m:r>
            </m:num>
            <m:den>
              <m:r>
                <m:t>σ</m:t>
              </m:r>
              <m:r>
                <m:rPr>
                  <m:sty m:val="p"/>
                </m:rPr>
                <m:t>/</m:t>
              </m:r>
              <m:rad>
                <m:radPr>
                  <m:degHide m:val="1"/>
                </m:radPr>
                <m:deg/>
                <m:e>
                  <m:r>
                    <m:t>n</m:t>
                  </m:r>
                </m:e>
              </m:rad>
            </m:den>
          </m:f>
          <m:r>
            <m:rPr>
              <m:sty m:val="p"/>
            </m:rPr>
            <m:t>=</m:t>
          </m:r>
          <m:f>
            <m:fPr>
              <m:type m:val="bar"/>
            </m:fPr>
            <m:num>
              <m:rad>
                <m:radPr>
                  <m:degHide m:val="1"/>
                </m:radPr>
                <m:deg/>
                <m:e>
                  <m:r>
                    <m:t>n</m:t>
                  </m:r>
                </m:e>
              </m:rad>
              <m:d>
                <m:dPr>
                  <m:begChr m:val="("/>
                  <m:endChr m:val=")"/>
                  <m:sepChr m:val=""/>
                  <m:grow/>
                </m:dPr>
                <m:e>
                  <m:acc>
                    <m:accPr>
                      <m:chr m:val="‾"/>
                    </m:accPr>
                    <m:e>
                      <m:sSub>
                        <m:e>
                          <m:r>
                            <m:t>X</m:t>
                          </m:r>
                        </m:e>
                        <m:sub>
                          <m:r>
                            <m:t>n</m:t>
                          </m:r>
                        </m:sub>
                      </m:sSub>
                    </m:e>
                  </m:acc>
                  <m:r>
                    <m:rPr>
                      <m:sty m:val="p"/>
                    </m:rPr>
                    <m:t>−</m:t>
                  </m:r>
                  <m:r>
                    <m:t>μ</m:t>
                  </m:r>
                </m:e>
              </m:d>
            </m:num>
            <m:den>
              <m:r>
                <m:t>σ</m:t>
              </m:r>
            </m:den>
          </m:f>
        </m:oMath>
      </m:oMathPara>
    </w:p>
    <w:p>
      <w:pPr>
        <w:pStyle w:val="FirstParagraph"/>
      </w:pPr>
      <w:r>
        <w:t xml:space="preserve">Importantly, replacing the unknown population standard deviation with the known sample standard deviation does not affect the Central Limit Theorem.</w:t>
      </w:r>
    </w:p>
    <w:p>
      <w:pPr>
        <w:pStyle w:val="BodyText"/>
      </w:pPr>
      <w:r>
        <w:t xml:space="preserve">The most useful interpretation of the Central Limit Theorem is that the sample average is approximately normally distributed, with a mean equal to the population mean and a variance given by the standard error of the mean.</w:t>
      </w:r>
    </w:p>
    <w:p>
      <w:pPr>
        <w:pStyle w:val="BodyText"/>
      </w:pPr>
      <w:r>
        <w:t xml:space="preserve">Example: Using standard die with the mean of 3.5, and variance of 2.92. We simulate the die roll n times, calculate the sample mean, subtract the population mean, and dividing by the standard error.</w:t>
      </w:r>
    </w:p>
    <w:p>
      <w:pPr>
        <w:pStyle w:val="CaptionedFigure"/>
      </w:pPr>
      <w:r>
        <w:drawing>
          <wp:inline>
            <wp:extent cx="5334000" cy="3000375"/>
            <wp:effectExtent b="0" l="0" r="0" t="0"/>
            <wp:docPr descr="Figure 2.4: Distribution of averages of iid random variables in die roll" title="" id="1" name="Picture"/>
            <a:graphic>
              <a:graphicData uri="http://schemas.openxmlformats.org/drawingml/2006/picture">
                <pic:pic>
                  <pic:nvPicPr>
                    <pic:cNvPr descr="resources/images/week_02_files/figure-docx//1U1PiqeXG4XoKmg8hRFJqE1OFDOJfificBz1jLeDunHo_g257d7b8e795_0_101.pn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9" w:name="fig19"/>
      <w:r>
        <w:t xml:space="preserve">Figure </w:t>
      </w:r>
      <w:fldSimple w:instr="SEQ Figure \* ARABIC ">
        <w:r>
          <w:t>19</w:t>
        </w:r>
      </w:fldSimple>
      <w:r>
        <w:t xml:space="preserve">:</w:t>
      </w:r>
      <w:r>
        <w:t xml:space="preserve"> </w:t>
      </w:r>
      <w:bookmarkEnd w:id="99"/>
      <w:r>
        <w:t xml:space="preserve">Figure 2.4: Distribution of averages of iid random variables in die roll</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3.5</w:t>
      </w:r>
      <w:r>
        <w:rPr>
          <w:rStyle w:val="NormalTok"/>
        </w:rPr>
        <w:t xml:space="preserve">) </w:t>
      </w:r>
      <w:r>
        <w:rPr>
          <w:rStyle w:val="SpecialCharTok"/>
        </w:rPr>
        <w:t xml:space="preserve">/</w:t>
      </w:r>
      <w:r>
        <w:rPr>
          <w:rStyle w:val="NormalTok"/>
        </w:rPr>
        <w:t xml:space="preserve"> </w:t>
      </w:r>
      <w:r>
        <w:rPr>
          <w:rStyle w:val="FloatTok"/>
        </w:rPr>
        <w:t xml:space="preserve">1.71</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The distribution approximates a bell curve. As we increase the number of rolls, the approximation improves.</w:t>
      </w:r>
    </w:p>
    <w:p>
      <w:pPr>
        <w:pStyle w:val="BodyText"/>
      </w:pPr>
      <w:r>
        <w:t xml:space="preserve">Example: Let</w:t>
      </w:r>
      <w:r>
        <w:t xml:space="preserve"> </w:t>
      </w:r>
      <m:oMath>
        <m:sSub>
          <m:e>
            <m:r>
              <m:t>X</m:t>
            </m:r>
          </m:e>
          <m:sub>
            <m:r>
              <m:t>i</m:t>
            </m:r>
          </m:sub>
        </m:sSub>
      </m:oMath>
      <w:r>
        <w:t xml:space="preserve"> </w:t>
      </w:r>
      <w:r>
        <w:t xml:space="preserve">be the</w:t>
      </w:r>
      <w:r>
        <w:t xml:space="preserve"> </w:t>
      </w:r>
      <m:oMath>
        <m:r>
          <m:t>0</m:t>
        </m:r>
      </m:oMath>
      <w:r>
        <w:t xml:space="preserve"> </w:t>
      </w:r>
      <w:r>
        <w:t xml:space="preserve">or</w:t>
      </w:r>
      <w:r>
        <w:t xml:space="preserve"> </w:t>
      </w:r>
      <m:oMath>
        <m:r>
          <m:t>1</m:t>
        </m:r>
      </m:oMath>
      <w:r>
        <w:t xml:space="preserve"> </w:t>
      </w:r>
      <w:r>
        <w:t xml:space="preserve">result of the</w:t>
      </w:r>
      <w:r>
        <w:t xml:space="preserve"> </w:t>
      </w:r>
      <m:oMath>
        <m:sSup>
          <m:e>
            <m:r>
              <m:t>i</m:t>
            </m:r>
          </m:e>
          <m:sup>
            <m:r>
              <m:t>t</m:t>
            </m:r>
            <m:r>
              <m:t>h</m:t>
            </m:r>
          </m:sup>
        </m:sSup>
      </m:oMath>
      <w:r>
        <w:t xml:space="preserve"> </w:t>
      </w:r>
      <w:r>
        <w:t xml:space="preserve">flip of a possibly unfair coin. The sample proportion, say</w:t>
      </w:r>
      <w:r>
        <w:t xml:space="preserve"> </w:t>
      </w:r>
      <m:oMath>
        <m:acc>
          <m:accPr>
            <m:chr m:val="̂"/>
          </m:accPr>
          <m:e>
            <m:r>
              <m:t>p</m:t>
            </m:r>
          </m:e>
        </m:acc>
      </m:oMath>
      <w:r>
        <w:t xml:space="preserve">, is the average of the coin flips.</w:t>
      </w:r>
      <w:r>
        <w:t xml:space="preserve"> </w:t>
      </w:r>
      <m:oMath>
        <m:r>
          <m:t>E</m:t>
        </m:r>
        <m:d>
          <m:dPr>
            <m:begChr m:val="["/>
            <m:endChr m:val="]"/>
            <m:sepChr m:val=""/>
            <m:grow/>
          </m:dPr>
          <m:e>
            <m:sSub>
              <m:e>
                <m:r>
                  <m:t>X</m:t>
                </m:r>
              </m:e>
              <m:sub>
                <m:r>
                  <m:t>i</m:t>
                </m:r>
              </m:sub>
            </m:sSub>
          </m:e>
        </m:d>
        <m:r>
          <m:rPr>
            <m:sty m:val="p"/>
          </m:rPr>
          <m:t>=</m:t>
        </m:r>
        <m:r>
          <m:t>p</m:t>
        </m:r>
      </m:oMath>
      <w:r>
        <w:t xml:space="preserve"> </w:t>
      </w:r>
      <w:r>
        <w:t xml:space="preserve">and</w:t>
      </w:r>
      <w:r>
        <w:t xml:space="preserve"> </w:t>
      </w:r>
      <m:oMath>
        <m:r>
          <m:t>V</m:t>
        </m:r>
        <m:r>
          <m:t>a</m:t>
        </m:r>
        <m:r>
          <m:t>r</m:t>
        </m:r>
        <m:d>
          <m:dPr>
            <m:begChr m:val="("/>
            <m:endChr m:val=")"/>
            <m:sepChr m:val=""/>
            <m:grow/>
          </m:dPr>
          <m:e>
            <m:sSub>
              <m:e>
                <m:r>
                  <m:t>X</m:t>
                </m:r>
              </m:e>
              <m:sub>
                <m:r>
                  <m:t>i</m:t>
                </m:r>
              </m:sub>
            </m:sSub>
          </m:e>
        </m:d>
        <m:r>
          <m:rPr>
            <m:sty m:val="p"/>
          </m:rPr>
          <m:t>=</m:t>
        </m:r>
        <m:r>
          <m:t>p</m:t>
        </m:r>
        <m:d>
          <m:dPr>
            <m:begChr m:val="("/>
            <m:endChr m:val=")"/>
            <m:sepChr m:val=""/>
            <m:grow/>
          </m:dPr>
          <m:e>
            <m:r>
              <m:t>1</m:t>
            </m:r>
            <m:r>
              <m:rPr>
                <m:sty m:val="p"/>
              </m:rPr>
              <m:t>−</m:t>
            </m:r>
            <m:r>
              <m:t>p</m:t>
            </m:r>
          </m:e>
        </m:d>
      </m:oMath>
      <w:r>
        <w:t xml:space="preserve"> </w:t>
      </w:r>
      <w:r>
        <w:t xml:space="preserve">Standard error of the mean is</w:t>
      </w:r>
      <w:r>
        <w:t xml:space="preserve"> </w:t>
      </w:r>
      <m:oMath>
        <m:rad>
          <m:radPr>
            <m:degHide m:val="1"/>
          </m:radPr>
          <m:deg/>
          <m:e>
            <m:r>
              <m:t>p</m:t>
            </m:r>
            <m:d>
              <m:dPr>
                <m:begChr m:val="("/>
                <m:endChr m:val=")"/>
                <m:sepChr m:val=""/>
                <m:grow/>
              </m:dPr>
              <m:e>
                <m:r>
                  <m:t>1</m:t>
                </m:r>
                <m:r>
                  <m:rPr>
                    <m:sty m:val="p"/>
                  </m:rPr>
                  <m:t>−</m:t>
                </m:r>
                <m:r>
                  <m:t>p</m:t>
                </m:r>
              </m:e>
            </m:d>
            <m:r>
              <m:rPr>
                <m:sty m:val="p"/>
              </m:rPr>
              <m:t>/</m:t>
            </m:r>
            <m:r>
              <m:t>n</m:t>
            </m:r>
          </m:e>
        </m:rad>
      </m:oMath>
      <w:r>
        <w:t xml:space="preserve"> </w:t>
      </w:r>
      <w:r>
        <w:t xml:space="preserve">Then</w:t>
      </w:r>
    </w:p>
    <w:p>
      <w:pPr>
        <w:pStyle w:val="BodyText"/>
      </w:pPr>
      <m:oMathPara>
        <m:oMathParaPr>
          <m:jc m:val="center"/>
        </m:oMathParaPr>
        <m:oMath>
          <m:f>
            <m:fPr>
              <m:type m:val="bar"/>
            </m:fPr>
            <m:num>
              <m:acc>
                <m:accPr>
                  <m:chr m:val="̂"/>
                </m:accPr>
                <m:e>
                  <m:r>
                    <m:t>p</m:t>
                  </m:r>
                </m:e>
              </m:acc>
              <m:r>
                <m:rPr>
                  <m:sty m:val="p"/>
                </m:rPr>
                <m:t>−</m:t>
              </m:r>
              <m:r>
                <m:t>p</m:t>
              </m:r>
            </m:num>
            <m:den>
              <m:rad>
                <m:radPr>
                  <m:degHide m:val="1"/>
                </m:radPr>
                <m:deg/>
                <m:e>
                  <m:r>
                    <m:t>p</m:t>
                  </m:r>
                  <m:d>
                    <m:dPr>
                      <m:begChr m:val="("/>
                      <m:endChr m:val=")"/>
                      <m:sepChr m:val=""/>
                      <m:grow/>
                    </m:dPr>
                    <m:e>
                      <m:r>
                        <m:t>1</m:t>
                      </m:r>
                      <m:r>
                        <m:rPr>
                          <m:sty m:val="p"/>
                        </m:rPr>
                        <m:t>−</m:t>
                      </m:r>
                      <m:r>
                        <m:t>p</m:t>
                      </m:r>
                    </m:e>
                  </m:d>
                  <m:r>
                    <m:rPr>
                      <m:sty m:val="p"/>
                    </m:rPr>
                    <m:t>/</m:t>
                  </m:r>
                  <m:r>
                    <m:t>n</m:t>
                  </m:r>
                </m:e>
              </m:rad>
            </m:den>
          </m:f>
        </m:oMath>
      </m:oMathPara>
    </w:p>
    <w:p>
      <w:pPr>
        <w:pStyle w:val="FirstParagraph"/>
      </w:pPr>
      <w:r>
        <w:t xml:space="preserve">will be approximately normally distributed</w:t>
      </w:r>
    </w:p>
    <w:p>
      <w:pPr>
        <w:pStyle w:val="BodyText"/>
      </w:pPr>
      <w:r>
        <w:t xml:space="preserve">Flipping a fair coin</w:t>
      </w:r>
      <w:r>
        <w:t xml:space="preserve"> </w:t>
      </w:r>
      <m:oMath>
        <m:r>
          <m:t>n</m:t>
        </m:r>
      </m:oMath>
      <w:r>
        <w:t xml:space="preserve"> </w:t>
      </w:r>
      <w:r>
        <w:t xml:space="preserve">times, taking the sample proportion of heads, subtracting off 0.5 and multiply the result by</w:t>
      </w:r>
      <w:r>
        <w:t xml:space="preserve"> </w:t>
      </w:r>
      <m:oMath>
        <m:r>
          <m:t>2</m:t>
        </m:r>
        <m:rad>
          <m:radPr>
            <m:degHide m:val="1"/>
          </m:radPr>
          <m:deg/>
          <m:e>
            <m:r>
              <m:t>n</m:t>
            </m:r>
          </m:e>
        </m:rad>
      </m:oMath>
      <w:r>
        <w:t xml:space="preserve"> </w:t>
      </w:r>
      <w:r>
        <w:t xml:space="preserve">divide by</w:t>
      </w:r>
      <w:r>
        <w:t xml:space="preserve"> </w:t>
      </w:r>
      <m:oMath>
        <m:r>
          <m:t>1</m:t>
        </m:r>
        <m:r>
          <m:rPr>
            <m:sty m:val="p"/>
          </m:rPr>
          <m:t>/</m:t>
        </m:r>
        <m:d>
          <m:dPr>
            <m:begChr m:val="("/>
            <m:endChr m:val=")"/>
            <m:sepChr m:val=""/>
            <m:grow/>
          </m:dPr>
          <m:e>
            <m:r>
              <m:t>2</m:t>
            </m:r>
            <m:rad>
              <m:radPr>
                <m:degHide m:val="1"/>
              </m:radPr>
              <m:deg/>
              <m:e>
                <m:r>
                  <m:t>n</m:t>
                </m:r>
              </m:e>
            </m:rad>
          </m:e>
        </m:d>
      </m:oMath>
      <w:r>
        <w:t xml:space="preserve"> </w:t>
      </w:r>
      <w:r>
        <w:t xml:space="preserve">is displayed below.</w:t>
      </w:r>
    </w:p>
    <w:p>
      <w:pPr>
        <w:pStyle w:val="CaptionedFigure"/>
      </w:pPr>
      <w:r>
        <w:drawing>
          <wp:inline>
            <wp:extent cx="5334000" cy="3000375"/>
            <wp:effectExtent b="0" l="0" r="0" t="0"/>
            <wp:docPr descr="Figure 2.5: Distribution of averages of iid random variables in coin flip" title="" id="1" name="Picture"/>
            <a:graphic>
              <a:graphicData uri="http://schemas.openxmlformats.org/drawingml/2006/picture">
                <pic:pic>
                  <pic:nvPicPr>
                    <pic:cNvPr descr="resources/images/week_02_files/figure-docx//1U1PiqeXG4XoKmg8hRFJqE1OFDOJfificBz1jLeDunHo_g257d7b8e795_0_104.png" id="0"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1" w:name="fig20"/>
      <w:r>
        <w:t xml:space="preserve">Figure </w:t>
      </w:r>
      <w:fldSimple w:instr="SEQ Figure \* ARABIC ">
        <w:r>
          <w:t>20</w:t>
        </w:r>
      </w:fldSimple>
      <w:r>
        <w:t xml:space="preserve">:</w:t>
      </w:r>
      <w:r>
        <w:t xml:space="preserve"> </w:t>
      </w:r>
      <w:bookmarkEnd w:id="101"/>
      <w:r>
        <w:t xml:space="preserve">Figure 2.5: Distribution of averages of iid random variables in coin flip</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Taking the result of each flip (0 or 1) as an iid random variable, we calculate the sample proportion of heads</w:t>
      </w:r>
      <w:r>
        <w:t xml:space="preserve"> </w:t>
      </w:r>
      <m:oMath>
        <m:acc>
          <m:accPr>
            <m:chr m:val="̂"/>
          </m:accPr>
          <m:e>
            <m:r>
              <m:t>p</m:t>
            </m:r>
          </m:e>
        </m:acc>
      </m:oMath>
      <w:r>
        <w:t xml:space="preserve">. We again obtain a distribution that approximates a bell curve. Similar to the previous example, the approximation improves as the number of coin flips increases.</w:t>
      </w:r>
    </w:p>
    <w:p>
      <w:pPr>
        <w:pStyle w:val="BodyText"/>
      </w:pPr>
      <w:r>
        <w:t xml:space="preserve">It’s important to note that the speed at which the normalized coin flips converge to normality depends on the bias of the coin. If the coin is heavily biased, the approximation may not be perfect even with a large sample size. However, as the number of coin flips approaches infinity, the Central Limit Theorem guarantees an excellent approximation.</w:t>
      </w:r>
    </w:p>
    <w:p>
      <w:pPr>
        <w:pStyle w:val="BodyText"/>
      </w:pPr>
      <w:r>
        <w:t xml:space="preserve">As a fun example, let’s discuss Galton’s quincunx. This machine, often found in science museums, visually demonstrates the Central Limit Theorem using a game resembling Pachinko.</w:t>
      </w:r>
      <w:r>
        <w:t xml:space="preserve"> </w:t>
      </w:r>
      <w:hyperlink r:id="rId102">
        <w:r>
          <w:rPr>
            <w:rStyle w:val="Hyperlink"/>
          </w:rPr>
          <w:t xml:space="preserve">An image from Wikipedia showing Galton’s quincunx</w:t>
        </w:r>
      </w:hyperlink>
      <w:r>
        <w:t xml:space="preserve">. In Galton’s quincunx, a ball falls through a series of pegs, bouncing left or right at each peg. Each bounce can be thought of as a coin flip or binomial experiment. The total number of successes (heads) follows an approximately normal distribution, as predicted by the Central Limit Theorem. At the museum, the balls collect in bins, forming a histogram that aligns with the expected normal distribution.</w:t>
      </w:r>
    </w:p>
    <w:p>
      <w:pPr>
        <w:pStyle w:val="BodyText"/>
      </w:pPr>
      <w:r>
        <w:t xml:space="preserve">In summary, the Central Limit Theorem is a powerful tool that allows us to approximate the distribution of averages of iid random variables. It applies to various settings and provides valuable insights into statistical inference. The examples we explored, from dice rolls to coin flips to Galton’s quincunx, illustrate the practical applications of the Central Limit Theorem and the convergence to a standard normal distribution as the sample size increases.</w:t>
      </w:r>
    </w:p>
    <w:bookmarkEnd w:id="103"/>
    <w:bookmarkStart w:id="114" w:name="asymptotics-and-confidence-intervals"/>
    <w:p>
      <w:pPr>
        <w:pStyle w:val="Heading3"/>
      </w:pPr>
      <w:r>
        <w:rPr>
          <w:rStyle w:val="SectionNumber"/>
        </w:rPr>
        <w:t xml:space="preserve">2.2.3</w:t>
      </w:r>
      <w:r>
        <w:tab/>
      </w:r>
      <w:r>
        <w:t xml:space="preserve">Asymptotics and confidence intervals</w:t>
      </w:r>
    </w:p>
    <w:p>
      <w:pPr>
        <w:pStyle w:val="FirstParagraph"/>
      </w:pPr>
      <w:r>
        <w:t xml:space="preserve">The central limit theorem tells us that the sample mean follows an approximately normal distribution with a population mean of μ and a standard deviation of</w:t>
      </w:r>
      <w:r>
        <w:t xml:space="preserve"> </w:t>
      </w:r>
      <m:oMath>
        <m:r>
          <m:t>σ</m:t>
        </m:r>
        <m:r>
          <m:rPr>
            <m:sty m:val="p"/>
          </m:rPr>
          <m:t>/</m:t>
        </m:r>
        <m:rad>
          <m:radPr>
            <m:degHide m:val="1"/>
          </m:radPr>
          <m:deg/>
          <m:e>
            <m:r>
              <m:t>n</m:t>
            </m:r>
          </m:e>
        </m:rad>
      </m:oMath>
      <w:r>
        <w:t xml:space="preserve">. This distribution allows us to make inferences about the population mean based on sample data. When considering the distribution, we observe that</w:t>
      </w:r>
      <w:r>
        <w:t xml:space="preserve"> </w:t>
      </w:r>
      <m:oMath>
        <m:r>
          <m:t>μ</m:t>
        </m:r>
        <m:r>
          <m:rPr>
            <m:sty m:val="p"/>
          </m:rPr>
          <m:t>+</m:t>
        </m:r>
        <m:r>
          <m:t>2</m:t>
        </m:r>
      </m:oMath>
      <w:r>
        <w:t xml:space="preserve"> </w:t>
      </w:r>
      <w:r>
        <w:t xml:space="preserve">standard errors is quite far out in the tail, with only a 2.5% chance of a normal value being larger than two standard deviations in the tail.</w:t>
      </w:r>
      <w:r>
        <w:t xml:space="preserve"> </w:t>
      </w:r>
      <w:r>
        <w:t xml:space="preserve">Similarly,</w:t>
      </w:r>
      <w:r>
        <w:t xml:space="preserve"> </w:t>
      </w:r>
      <m:oMath>
        <m:r>
          <m:t>μ</m:t>
        </m:r>
        <m:r>
          <m:rPr>
            <m:sty m:val="p"/>
          </m:rPr>
          <m:t>−</m:t>
        </m:r>
        <m:r>
          <m:t>2</m:t>
        </m:r>
      </m:oMath>
      <w:r>
        <w:t xml:space="preserve"> </w:t>
      </w:r>
      <w:r>
        <w:t xml:space="preserve">standard errors is far in the left tail, with only a 2.5% chance of a normal value being smaller than two standard deviations in the left tail. Therefore, the probability that the sample mean</w:t>
      </w:r>
      <w:r>
        <w:t xml:space="preserve"> </w:t>
      </w:r>
      <m:oMath>
        <m:acc>
          <m:accPr>
            <m:chr m:val="‾"/>
          </m:accPr>
          <m:e>
            <m:r>
              <m:t>X</m:t>
            </m:r>
          </m:e>
        </m:acc>
      </m:oMath>
      <w:r>
        <w:t xml:space="preserve"> </w:t>
      </w:r>
      <w:r>
        <w:t xml:space="preserve">is greater than</w:t>
      </w:r>
      <w:r>
        <w:t xml:space="preserve"> </w:t>
      </w:r>
      <m:oMath>
        <m:r>
          <m:t>μ</m:t>
        </m:r>
        <m:r>
          <m:rPr>
            <m:sty m:val="p"/>
          </m:rPr>
          <m:t>+</m:t>
        </m:r>
        <m:r>
          <m:t>2</m:t>
        </m:r>
      </m:oMath>
      <w:r>
        <w:t xml:space="preserve"> </w:t>
      </w:r>
      <w:r>
        <w:t xml:space="preserve">standard errors or smaller than</w:t>
      </w:r>
      <w:r>
        <w:t xml:space="preserve"> </w:t>
      </w:r>
      <m:oMath>
        <m:r>
          <m:t>μ</m:t>
        </m:r>
        <m:r>
          <m:rPr>
            <m:sty m:val="p"/>
          </m:rPr>
          <m:t>−</m:t>
        </m:r>
        <m:r>
          <m:t>2</m:t>
        </m:r>
      </m:oMath>
      <w:r>
        <w:t xml:space="preserve"> </w:t>
      </w:r>
      <w:r>
        <w:t xml:space="preserve">standard errors is 5%. Equivalently, the probability that μ is between these limits is 95%. By reversing the roles of</w:t>
      </w:r>
      <w:r>
        <w:t xml:space="preserve"> </w:t>
      </w:r>
      <m:oMath>
        <m:acc>
          <m:accPr>
            <m:chr m:val="‾"/>
          </m:accPr>
          <m:e>
            <m:r>
              <m:t>X</m:t>
            </m:r>
          </m:e>
        </m:acc>
      </m:oMath>
      <w:r>
        <w:t xml:space="preserve"> </w:t>
      </w:r>
      <w:r>
        <w:t xml:space="preserve">and μ, we can conclude that the interval</w:t>
      </w:r>
      <w:r>
        <w:t xml:space="preserve"> </w:t>
      </w:r>
      <m:oMath>
        <m:d>
          <m:dPr>
            <m:begChr m:val="["/>
            <m:endChr m:val="]"/>
            <m:sepChr m:val=""/>
            <m:grow/>
          </m:dPr>
          <m:e>
            <m:acc>
              <m:accPr>
                <m:chr m:val="‾"/>
              </m:accPr>
              <m:e>
                <m:r>
                  <m:t>X</m:t>
                </m:r>
              </m:e>
            </m:acc>
            <m:r>
              <m:rPr>
                <m:sty m:val="p"/>
              </m:rPr>
              <m:t>−</m:t>
            </m:r>
            <m:r>
              <m:t>2</m:t>
            </m:r>
            <m:r>
              <m:t>σ</m:t>
            </m:r>
            <m:r>
              <m:rPr>
                <m:sty m:val="p"/>
              </m:rPr>
              <m:t>/</m:t>
            </m:r>
            <m:rad>
              <m:radPr>
                <m:degHide m:val="1"/>
              </m:radPr>
              <m:deg/>
              <m:e>
                <m:r>
                  <m:t>n</m:t>
                </m:r>
              </m:e>
            </m:rad>
            <m:r>
              <m:rPr>
                <m:sty m:val="p"/>
              </m:rPr>
              <m:t>,</m:t>
            </m:r>
            <m:acc>
              <m:accPr>
                <m:chr m:val="‾"/>
              </m:accPr>
              <m:e>
                <m:r>
                  <m:t>X</m:t>
                </m:r>
              </m:e>
            </m:acc>
            <m:r>
              <m:rPr>
                <m:sty m:val="p"/>
              </m:rPr>
              <m:t>+</m:t>
            </m:r>
            <m:r>
              <m:t>2</m:t>
            </m:r>
            <m:r>
              <m:t>σ</m:t>
            </m:r>
            <m:r>
              <m:rPr>
                <m:sty m:val="p"/>
              </m:rPr>
              <m:t>/</m:t>
            </m:r>
            <m:rad>
              <m:radPr>
                <m:degHide m:val="1"/>
              </m:radPr>
              <m:deg/>
              <m:e>
                <m:r>
                  <m:t>n</m:t>
                </m:r>
              </m:e>
            </m:rad>
          </m:e>
        </m:d>
      </m:oMath>
      <w:r>
        <w:t xml:space="preserve"> </w:t>
      </w:r>
      <w:r>
        <w:t xml:space="preserve">contains μ with a probability of 95%.</w:t>
      </w:r>
    </w:p>
    <w:p>
      <w:pPr>
        <w:pStyle w:val="BodyText"/>
      </w:pPr>
      <w:r>
        <w:t xml:space="preserve">It’s important to note that in this interpretation, we treat the interval</w:t>
      </w:r>
      <w:r>
        <w:t xml:space="preserve"> </w:t>
      </w:r>
      <m:oMath>
        <m:d>
          <m:dPr>
            <m:begChr m:val="["/>
            <m:endChr m:val="]"/>
            <m:sepChr m:val=""/>
            <m:grow/>
          </m:dPr>
          <m:e>
            <m:acc>
              <m:accPr>
                <m:chr m:val="‾"/>
              </m:accPr>
              <m:e>
                <m:r>
                  <m:t>X</m:t>
                </m:r>
              </m:e>
            </m:acc>
            <m:r>
              <m:rPr>
                <m:sty m:val="p"/>
              </m:rPr>
              <m:t>−</m:t>
            </m:r>
            <m:r>
              <m:t>2</m:t>
            </m:r>
            <m:r>
              <m:t>σ</m:t>
            </m:r>
            <m:r>
              <m:rPr>
                <m:sty m:val="p"/>
              </m:rPr>
              <m:t>/</m:t>
            </m:r>
            <m:rad>
              <m:radPr>
                <m:degHide m:val="1"/>
              </m:radPr>
              <m:deg/>
              <m:e>
                <m:r>
                  <m:t>n</m:t>
                </m:r>
              </m:e>
            </m:rad>
            <m:r>
              <m:rPr>
                <m:sty m:val="p"/>
              </m:rPr>
              <m:t>,</m:t>
            </m:r>
            <m:acc>
              <m:accPr>
                <m:chr m:val="‾"/>
              </m:accPr>
              <m:e>
                <m:r>
                  <m:t>X</m:t>
                </m:r>
              </m:e>
            </m:acc>
            <m:r>
              <m:rPr>
                <m:sty m:val="p"/>
              </m:rPr>
              <m:t>+</m:t>
            </m:r>
            <m:r>
              <m:t>2</m:t>
            </m:r>
            <m:r>
              <m:t>σ</m:t>
            </m:r>
            <m:r>
              <m:rPr>
                <m:sty m:val="p"/>
              </m:rPr>
              <m:t>/</m:t>
            </m:r>
            <m:rad>
              <m:radPr>
                <m:degHide m:val="1"/>
              </m:radPr>
              <m:deg/>
              <m:e>
                <m:r>
                  <m:t>n</m:t>
                </m:r>
              </m:e>
            </m:rad>
          </m:e>
        </m:d>
      </m:oMath>
      <w:r>
        <w:t xml:space="preserve"> </w:t>
      </w:r>
      <w:r>
        <w:t xml:space="preserve">as random, while μ is fixed. This allows us to discuss the probability that the interval contains μ. In practice, if we repeatedly obtain samples of size n from the population and construct a confidence interval in each case, about 95% of the intervals will contain μ, the parameter we are trying to estimate. If we want a 90% confidence interval, we need 5% in each tail, so we would use a different multiplier instead of 2 (e.g., 1.645).</w:t>
      </w:r>
    </w:p>
    <w:p>
      <w:pPr>
        <w:pStyle w:val="BodyText"/>
      </w:pPr>
      <w:r>
        <w:t xml:space="preserve">Example: Using the father-son data from the</w:t>
      </w:r>
      <w:r>
        <w:t xml:space="preserve"> </w:t>
      </w:r>
      <w:r>
        <w:t xml:space="preserve">“</w:t>
      </w:r>
      <w:r>
        <w:t xml:space="preserve">Using R</w:t>
      </w:r>
      <w:r>
        <w:t xml:space="preserve">”</w:t>
      </w:r>
      <w:r>
        <w:t xml:space="preserve"> </w:t>
      </w:r>
      <w:r>
        <w:t xml:space="preserve">package we want to estimate the average height of sons</w:t>
      </w:r>
      <w:r>
        <w:t xml:space="preserve"> </w:t>
      </w:r>
      <m:oMath>
        <m:acc>
          <m:accPr>
            <m:chr m:val="‾"/>
          </m:accPr>
          <m:e>
            <m:r>
              <m:t>X</m:t>
            </m:r>
          </m:e>
        </m:acc>
      </m:oMath>
      <w:r>
        <w:t xml:space="preserve">. We can calculate the mean of the sample plus or minus the 0.975th normal quantile times the standard error of the mean.</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w:t>
      </w:r>
      <w:r>
        <w:rPr>
          <w:rStyle w:val="FunctionTok"/>
        </w:rPr>
        <w:t xml:space="preserve">length</w:t>
      </w:r>
      <w:r>
        <w:rPr>
          <w:rStyle w:val="NormalTok"/>
        </w:rPr>
        <w:t xml:space="preserve">(x))) </w:t>
      </w:r>
      <w:r>
        <w:rPr>
          <w:rStyle w:val="SpecialCharTok"/>
        </w:rPr>
        <w:t xml:space="preserve">/</w:t>
      </w:r>
      <w:r>
        <w:rPr>
          <w:rStyle w:val="NormalTok"/>
        </w:rPr>
        <w:t xml:space="preserve"> </w:t>
      </w:r>
      <w:r>
        <w:rPr>
          <w:rStyle w:val="DecValTok"/>
        </w:rPr>
        <w:t xml:space="preserve">12</w:t>
      </w:r>
    </w:p>
    <w:p>
      <w:pPr>
        <w:pStyle w:val="FirstParagraph"/>
      </w:pPr>
      <w:r>
        <w:t xml:space="preserve">Dividing by 12 ensures that our confidence interval is in feet rather than inches. If we obtain a confidence interval of 5.710 to 5.738, we can say that if the sons’ height in this data are a random sample from the population of interest, the confidence interval for the average height of the sons would be 5.71 to 5.74.</w:t>
      </w:r>
    </w:p>
    <w:p>
      <w:pPr>
        <w:pStyle w:val="BodyText"/>
      </w:pPr>
      <w:r>
        <w:t xml:space="preserve">Another application is when dealing with coin flips and estimating the success probability</w:t>
      </w:r>
      <w:r>
        <w:t xml:space="preserve"> </w:t>
      </w:r>
      <m:oMath>
        <m:r>
          <m:t>p</m:t>
        </m:r>
      </m:oMath>
      <w:r>
        <w:t xml:space="preserve"> </w:t>
      </w:r>
      <w:r>
        <w:t xml:space="preserve">of the coin. Each observation</w:t>
      </w:r>
      <w:r>
        <w:t xml:space="preserve"> </w:t>
      </w:r>
      <m:oMath>
        <m:sSub>
          <m:e>
            <m:r>
              <m:t>X</m:t>
            </m:r>
          </m:e>
          <m:sub>
            <m:r>
              <m:t>i</m:t>
            </m:r>
          </m:sub>
        </m:sSub>
      </m:oMath>
      <w:r>
        <w:t xml:space="preserve"> </w:t>
      </w:r>
      <w:r>
        <w:t xml:space="preserve">in this case is either 0 or 1, with a common success probability</w:t>
      </w:r>
      <w:r>
        <w:t xml:space="preserve"> </w:t>
      </w:r>
      <m:oMath>
        <m:r>
          <m:t>p</m:t>
        </m:r>
      </m:oMath>
      <w:r>
        <w:t xml:space="preserve">. The variance of a coin flip is</w:t>
      </w:r>
      <w:r>
        <w:t xml:space="preserve"> </w:t>
      </w:r>
      <m:oMath>
        <m:r>
          <m:t>p</m:t>
        </m:r>
        <m:r>
          <m:rPr>
            <m:sty m:val="p"/>
          </m:rPr>
          <m:t>*</m:t>
        </m:r>
        <m:d>
          <m:dPr>
            <m:begChr m:val="("/>
            <m:endChr m:val=")"/>
            <m:sepChr m:val=""/>
            <m:grow/>
          </m:dPr>
          <m:e>
            <m:r>
              <m:t>1</m:t>
            </m:r>
            <m:r>
              <m:rPr>
                <m:sty m:val="p"/>
              </m:rPr>
              <m:t>−</m:t>
            </m:r>
            <m:r>
              <m:t>p</m:t>
            </m:r>
          </m:e>
        </m:d>
      </m:oMath>
      <w:r>
        <w:t xml:space="preserve">, where p is the true success probability of the coin. The standard error of the mean is then:</w:t>
      </w:r>
    </w:p>
    <w:p>
      <w:pPr>
        <w:pStyle w:val="BodyText"/>
      </w:pPr>
      <m:oMathPara>
        <m:oMathParaPr>
          <m:jc m:val="center"/>
        </m:oMathParaPr>
        <m:oMath>
          <m:acc>
            <m:accPr>
              <m:chr m:val="̂"/>
            </m:accPr>
            <m:e>
              <m:r>
                <m:t>p</m:t>
              </m:r>
            </m:e>
          </m:acc>
          <m:r>
            <m:rPr>
              <m:sty m:val="p"/>
            </m:rPr>
            <m:t>±</m:t>
          </m:r>
          <m:sSub>
            <m:e>
              <m:r>
                <m:t>z</m:t>
              </m:r>
            </m:e>
            <m:sub>
              <m:r>
                <m:t>1</m:t>
              </m:r>
              <m:r>
                <m:rPr>
                  <m:sty m:val="p"/>
                </m:rPr>
                <m:t>−</m:t>
              </m:r>
              <m:r>
                <m:t>α</m:t>
              </m:r>
              <m:r>
                <m:rPr>
                  <m:sty m:val="p"/>
                </m:rPr>
                <m:t>/</m:t>
              </m:r>
              <m:r>
                <m:t>2</m:t>
              </m:r>
            </m:sub>
          </m:sSub>
          <m:rad>
            <m:radPr>
              <m:degHide m:val="1"/>
            </m:radPr>
            <m:deg/>
            <m:e>
              <m:f>
                <m:fPr>
                  <m:type m:val="bar"/>
                </m:fPr>
                <m:num>
                  <m:r>
                    <m:t>p</m:t>
                  </m:r>
                  <m:d>
                    <m:dPr>
                      <m:begChr m:val="("/>
                      <m:endChr m:val=")"/>
                      <m:sepChr m:val=""/>
                      <m:grow/>
                    </m:dPr>
                    <m:e>
                      <m:r>
                        <m:t>1</m:t>
                      </m:r>
                      <m:r>
                        <m:rPr>
                          <m:sty m:val="p"/>
                        </m:rPr>
                        <m:t>−</m:t>
                      </m:r>
                      <m:r>
                        <m:t>p</m:t>
                      </m:r>
                    </m:e>
                  </m:d>
                </m:num>
                <m:den>
                  <m:r>
                    <m:t>n</m:t>
                  </m:r>
                </m:den>
              </m:f>
            </m:e>
          </m:rad>
        </m:oMath>
      </m:oMathPara>
    </w:p>
    <w:p>
      <w:pPr>
        <w:pStyle w:val="FirstParagraph"/>
      </w:pPr>
      <w:r>
        <w:t xml:space="preserve">Since we don’t know the true value of</w:t>
      </w:r>
      <w:r>
        <w:t xml:space="preserve"> </w:t>
      </w:r>
      <m:oMath>
        <m:r>
          <m:t>p</m:t>
        </m:r>
      </m:oMath>
      <w:r>
        <w:t xml:space="preserve">, we replace it with the estimated value</w:t>
      </w:r>
      <w:r>
        <w:t xml:space="preserve"> </w:t>
      </w:r>
      <m:oMath>
        <m:acc>
          <m:accPr>
            <m:chr m:val="̂"/>
          </m:accPr>
          <m:e>
            <m:r>
              <m:t>p</m:t>
            </m:r>
          </m:e>
        </m:acc>
      </m:oMath>
      <w:r>
        <w:t xml:space="preserve">. This type of confidence interval is known as the</w:t>
      </w:r>
      <w:r>
        <w:t xml:space="preserve"> </w:t>
      </w:r>
      <w:r>
        <w:rPr>
          <w:iCs/>
          <w:i/>
        </w:rPr>
        <w:t xml:space="preserve">Wald confidence interval</w:t>
      </w:r>
      <w:r>
        <w:t xml:space="preserve">, named after the statistician Wald. When p equals 0.5, the variance</w:t>
      </w:r>
      <w:r>
        <w:t xml:space="preserve"> </w:t>
      </w:r>
      <m:oMath>
        <m:r>
          <m:t>p</m:t>
        </m:r>
        <m:d>
          <m:dPr>
            <m:begChr m:val="("/>
            <m:endChr m:val=")"/>
            <m:sepChr m:val=""/>
            <m:grow/>
          </m:dPr>
          <m:e>
            <m:r>
              <m:t>1</m:t>
            </m:r>
            <m:r>
              <m:rPr>
                <m:sty m:val="p"/>
              </m:rPr>
              <m:t>−</m:t>
            </m:r>
            <m:r>
              <m:t>p</m:t>
            </m:r>
          </m:e>
        </m:d>
      </m:oMath>
      <w:r>
        <w:t xml:space="preserve"> </w:t>
      </w:r>
      <w:r>
        <w:t xml:space="preserve">is maximized, resulting in a standard error of 0.5. Multiplying it by 2 in the 95% interval cancels out, leaving the following expression for a 95% confidence interval, which is a quick estimate for p:</w:t>
      </w:r>
    </w:p>
    <w:p>
      <w:pPr>
        <w:pStyle w:val="BodyText"/>
      </w:pPr>
      <m:oMathPara>
        <m:oMathParaPr>
          <m:jc m:val="center"/>
        </m:oMathParaPr>
        <m:oMath>
          <m:acc>
            <m:accPr>
              <m:chr m:val="̂"/>
            </m:accPr>
            <m:e>
              <m:r>
                <m:t>p</m:t>
              </m:r>
            </m:e>
          </m:acc>
          <m:r>
            <m:rPr>
              <m:sty m:val="p"/>
            </m:rPr>
            <m:t>±</m:t>
          </m:r>
          <m:r>
            <m:t>1</m:t>
          </m:r>
          <m:r>
            <m:rPr>
              <m:sty m:val="p"/>
            </m:rPr>
            <m:t>/</m:t>
          </m:r>
          <m:rad>
            <m:radPr>
              <m:degHide m:val="1"/>
            </m:radPr>
            <m:deg/>
            <m:e>
              <m:r>
                <m:t>n</m:t>
              </m:r>
            </m:e>
          </m:rad>
        </m:oMath>
      </m:oMathPara>
    </w:p>
    <w:p>
      <w:pPr>
        <w:pStyle w:val="FirstParagraph"/>
      </w:pPr>
      <w:r>
        <w:t xml:space="preserve">Example: Imaging you are running for political office, and in a random sample of 100 likely voters, 56 intend to vote for you. To determine if you can relax or if you need to campaign more, you can use a quick calculation.</w:t>
      </w:r>
    </w:p>
    <w:p>
      <w:pPr>
        <w:pStyle w:val="BodyText"/>
      </w:pPr>
      <w:r>
        <w:t xml:space="preserve">With the information from the sample you can with with probability of 0.56 taking</w:t>
      </w:r>
      <w:r>
        <w:t xml:space="preserve"> </w:t>
      </w:r>
      <m:oMath>
        <m:f>
          <m:fPr>
            <m:type m:val="bar"/>
          </m:fPr>
          <m:num>
            <m:r>
              <m:t>1</m:t>
            </m:r>
          </m:num>
          <m:den>
            <m:rad>
              <m:radPr>
                <m:degHide m:val="1"/>
              </m:radPr>
              <m:deg/>
              <m:e>
                <m:r>
                  <m:t>100</m:t>
                </m:r>
              </m:e>
            </m:rad>
          </m:den>
        </m:f>
        <m:r>
          <m:rPr>
            <m:sty m:val="p"/>
          </m:rPr>
          <m:t>=</m:t>
        </m:r>
        <m:r>
          <m:t>0.1</m:t>
        </m:r>
      </m:oMath>
      <w:r>
        <w:t xml:space="preserve"> </w:t>
      </w:r>
      <w:r>
        <w:t xml:space="preserve">means the approximate 95% interval is 0.46 to 0.66. The confidence interval suggests that we cannot rule out possibilities below 0.5 with 95% confidence. Therefore, you shouldn’t relax and should continue campaigning.</w:t>
      </w:r>
    </w:p>
    <w:p>
      <w:pPr>
        <w:pStyle w:val="BodyText"/>
      </w:pPr>
      <w:r>
        <w:t xml:space="preserve">As a general guideline, you typically need at least 100 observations for one decimal place in a binomial experiment, 10,000 for two decimal places, and a million for three decimal places. These numbers reflect the approximate sample sizes needed for accurate estimation.</w:t>
      </w:r>
    </w:p>
    <w:p>
      <w:pPr>
        <w:pStyle w:val="BodyText"/>
      </w:pPr>
      <w:r>
        <w:t xml:space="preserve">In summary, the central limit theorem provides us with a practical tool for constructing confidence intervals and making inferences about population parameters. It allows us to estimate the population mean using the sample mean and provides a measure of uncertainty through confidence intervals. The Wald confidence interval is a useful approximation for estimating the success probability in binomial experiments. Additionally, considering the sample size helps determine the level of precision and confidence in our estimates.</w:t>
      </w:r>
    </w:p>
    <w:p>
      <w:pPr>
        <w:pStyle w:val="BodyText"/>
      </w:pPr>
      <w:r>
        <w:t xml:space="preserve">Consider a simulation where we repeatedly flip a coin with a known success probability. The goal is to calculate the percentage of times that the confidence interval covers the true probability. In each simulation, we flip the coin 20 times and vary the true success probability between 0.1 and 0.9 in steps of 0.05. We conduct 1,000 simulations for each true success probability.</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20</w:t>
      </w:r>
      <w:r>
        <w:rPr>
          <w:rStyle w:val="NormalTok"/>
        </w:rPr>
        <w:t xml:space="preserve">; 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9</w:t>
      </w:r>
      <w:r>
        <w:rPr>
          <w:rStyle w:val="NormalTok"/>
        </w:rPr>
        <w:t xml:space="preserve">, </w:t>
      </w:r>
      <w:r>
        <w:rPr>
          <w:rStyle w:val="AttributeTok"/>
        </w:rPr>
        <w:t xml:space="preserve">by =</w:t>
      </w:r>
      <w:r>
        <w:rPr>
          <w:rStyle w:val="NormalTok"/>
        </w:rPr>
        <w:t xml:space="preserve"> .</w:t>
      </w:r>
      <w:r>
        <w:rPr>
          <w:rStyle w:val="DecValTok"/>
        </w:rPr>
        <w:t xml:space="preserve">05</w:t>
      </w:r>
      <w:r>
        <w:rPr>
          <w:rStyle w:val="NormalTok"/>
        </w:rPr>
        <w:t xml:space="preserve">); nosim </w:t>
      </w:r>
      <w:r>
        <w:rPr>
          <w:rStyle w:val="OtherTok"/>
        </w:rPr>
        <w:t xml:space="preserve">&lt;-</w:t>
      </w:r>
      <w:r>
        <w:rPr>
          <w:rStyle w:val="NormalTok"/>
        </w:rPr>
        <w:t xml:space="preserve"> </w:t>
      </w:r>
      <w:r>
        <w:rPr>
          <w:rStyle w:val="DecValTok"/>
        </w:rPr>
        <w:t xml:space="preserve">1000</w:t>
      </w:r>
      <w:r>
        <w:br/>
      </w:r>
      <w:r>
        <w:rPr>
          <w:rStyle w:val="NormalTok"/>
        </w:rPr>
        <w:t xml:space="preserve">coverage </w:t>
      </w:r>
      <w:r>
        <w:rPr>
          <w:rStyle w:val="OtherTok"/>
        </w:rPr>
        <w:t xml:space="preserve">&lt;-</w:t>
      </w:r>
      <w:r>
        <w:rPr>
          <w:rStyle w:val="NormalTok"/>
        </w:rPr>
        <w:t xml:space="preserve"> </w:t>
      </w:r>
      <w:r>
        <w:rPr>
          <w:rStyle w:val="FunctionTok"/>
        </w:rPr>
        <w:t xml:space="preserve">sapply</w:t>
      </w:r>
      <w:r>
        <w:rPr>
          <w:rStyle w:val="NormalTok"/>
        </w:rPr>
        <w:t xml:space="preserve">(pvals, </w:t>
      </w:r>
      <w:r>
        <w:rPr>
          <w:rStyle w:val="ControlFlowTok"/>
        </w:rPr>
        <w:t xml:space="preserve">function</w:t>
      </w:r>
      <w:r>
        <w:rPr>
          <w:rStyle w:val="NormalTok"/>
        </w:rPr>
        <w:t xml:space="preserve">(p){</w:t>
      </w:r>
      <w:r>
        <w:br/>
      </w:r>
      <w:r>
        <w:rPr>
          <w:rStyle w:val="NormalTok"/>
        </w:rPr>
        <w:t xml:space="preserve">  phats </w:t>
      </w:r>
      <w:r>
        <w:rPr>
          <w:rStyle w:val="OtherTok"/>
        </w:rPr>
        <w:t xml:space="preserve">&lt;-</w:t>
      </w:r>
      <w:r>
        <w:rPr>
          <w:rStyle w:val="NormalTok"/>
        </w:rPr>
        <w:t xml:space="preserve"> </w:t>
      </w:r>
      <w:r>
        <w:rPr>
          <w:rStyle w:val="FunctionTok"/>
        </w:rPr>
        <w:t xml:space="preserve">rbinom</w:t>
      </w:r>
      <w:r>
        <w:rPr>
          <w:rStyle w:val="NormalTok"/>
        </w:rPr>
        <w:t xml:space="preserve">(nosim, </w:t>
      </w:r>
      <w:r>
        <w:rPr>
          <w:rStyle w:val="AttributeTok"/>
        </w:rPr>
        <w:t xml:space="preserve">prob =</w:t>
      </w:r>
      <w:r>
        <w:rPr>
          <w:rStyle w:val="NormalTok"/>
        </w:rPr>
        <w:t xml:space="preserve"> p, </w:t>
      </w:r>
      <w:r>
        <w:rPr>
          <w:rStyle w:val="AttributeTok"/>
        </w:rPr>
        <w:t xml:space="preserve">size =</w:t>
      </w:r>
      <w:r>
        <w:rPr>
          <w:rStyle w:val="NormalTok"/>
        </w:rPr>
        <w:t xml:space="preserve"> n) </w:t>
      </w:r>
      <w:r>
        <w:rPr>
          <w:rStyle w:val="SpecialCharTok"/>
        </w:rPr>
        <w:t xml:space="preserve">/</w:t>
      </w:r>
      <w:r>
        <w:rPr>
          <w:rStyle w:val="NormalTok"/>
        </w:rPr>
        <w:t xml:space="preserve"> n</w:t>
      </w:r>
      <w:r>
        <w:br/>
      </w:r>
      <w:r>
        <w:rPr>
          <w:rStyle w:val="NormalTok"/>
        </w:rPr>
        <w:t xml:space="preserve">  ll </w:t>
      </w:r>
      <w:r>
        <w:rPr>
          <w:rStyle w:val="OtherTok"/>
        </w:rPr>
        <w:t xml:space="preserve">&lt;-</w:t>
      </w:r>
      <w:r>
        <w:rPr>
          <w:rStyle w:val="NormalTok"/>
        </w:rPr>
        <w:t xml:space="preserve"> phats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(phats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phats) </w:t>
      </w:r>
      <w:r>
        <w:rPr>
          <w:rStyle w:val="SpecialCharTok"/>
        </w:rPr>
        <w:t xml:space="preserve">/</w:t>
      </w:r>
      <w:r>
        <w:rPr>
          <w:rStyle w:val="NormalTok"/>
        </w:rPr>
        <w:t xml:space="preserve"> n)</w:t>
      </w:r>
      <w:r>
        <w:br/>
      </w:r>
      <w:r>
        <w:rPr>
          <w:rStyle w:val="NormalTok"/>
        </w:rPr>
        <w:t xml:space="preserve">  ul </w:t>
      </w:r>
      <w:r>
        <w:rPr>
          <w:rStyle w:val="OtherTok"/>
        </w:rPr>
        <w:t xml:space="preserve">&lt;-</w:t>
      </w:r>
      <w:r>
        <w:rPr>
          <w:rStyle w:val="NormalTok"/>
        </w:rPr>
        <w:t xml:space="preserve"> phats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(phats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phats) </w:t>
      </w:r>
      <w:r>
        <w:rPr>
          <w:rStyle w:val="SpecialCharTok"/>
        </w:rPr>
        <w:t xml:space="preserve">/</w:t>
      </w:r>
      <w:r>
        <w:rPr>
          <w:rStyle w:val="NormalTok"/>
        </w:rPr>
        <w:t xml:space="preserve"> n)</w:t>
      </w:r>
      <w:r>
        <w:br/>
      </w:r>
      <w:r>
        <w:rPr>
          <w:rStyle w:val="NormalTok"/>
        </w:rPr>
        <w:t xml:space="preserve">  </w:t>
      </w:r>
      <w:r>
        <w:rPr>
          <w:rStyle w:val="FunctionTok"/>
        </w:rPr>
        <w:t xml:space="preserve">mean</w:t>
      </w:r>
      <w:r>
        <w:rPr>
          <w:rStyle w:val="NormalTok"/>
        </w:rPr>
        <w:t xml:space="preserve">(ll </w:t>
      </w:r>
      <w:r>
        <w:rPr>
          <w:rStyle w:val="SpecialCharTok"/>
        </w:rPr>
        <w:t xml:space="preserve">&lt;</w:t>
      </w:r>
      <w:r>
        <w:rPr>
          <w:rStyle w:val="NormalTok"/>
        </w:rPr>
        <w:t xml:space="preserve"> p </w:t>
      </w:r>
      <w:r>
        <w:rPr>
          <w:rStyle w:val="SpecialCharTok"/>
        </w:rPr>
        <w:t xml:space="preserve">&amp;</w:t>
      </w:r>
      <w:r>
        <w:rPr>
          <w:rStyle w:val="NormalTok"/>
        </w:rPr>
        <w:t xml:space="preserve"> ul </w:t>
      </w:r>
      <w:r>
        <w:rPr>
          <w:rStyle w:val="SpecialCharTok"/>
        </w:rPr>
        <w:t xml:space="preserve">&gt;</w:t>
      </w:r>
      <w:r>
        <w:rPr>
          <w:rStyle w:val="NormalTok"/>
        </w:rPr>
        <w:t xml:space="preserve"> p)</w:t>
      </w:r>
      <w:r>
        <w:br/>
      </w:r>
      <w:r>
        <w:rPr>
          <w:rStyle w:val="NormalTok"/>
        </w:rPr>
        <w:t xml:space="preserve">})</w:t>
      </w:r>
    </w:p>
    <w:p>
      <w:pPr>
        <w:pStyle w:val="FirstParagraph"/>
      </w:pPr>
      <w:r>
        <w:t xml:space="preserve">For each true success probability, we generate 1,000 sets of 20 coin flips and calculate the sample proportion. Then, we compute the lower and upper limits of the confidence interval for each set of coin flips. Finally, we determine the proportion of times that the confidence interval covers the true value of the success probability. we store these proportions in a variable called</w:t>
      </w:r>
      <w:r>
        <w:t xml:space="preserve"> </w:t>
      </w:r>
      <w:r>
        <w:t xml:space="preserve">“</w:t>
      </w:r>
      <w:r>
        <w:t xml:space="preserve">coverage.</w:t>
      </w:r>
      <w:r>
        <w:t xml:space="preserve">”</w:t>
      </w:r>
    </w:p>
    <w:p>
      <w:pPr>
        <w:pStyle w:val="BodyText"/>
      </w:pPr>
      <w:r>
        <w:t xml:space="preserve">To visualize the results, we can plot the coverage as a function of the true success probability used in the simulation. For example, if the true value of p is 0.5, we perform 1,000 simulations and calculate the coverage based on whether the confidence interval covers 0.5 or not. In this case, the coverage is over 95%, indicating that the confidence interval provides better than 95% coverage for a true success probability of 0.5.</w:t>
      </w:r>
    </w:p>
    <w:p>
      <w:pPr>
        <w:pStyle w:val="CaptionedFigure"/>
      </w:pPr>
      <w:r>
        <w:drawing>
          <wp:inline>
            <wp:extent cx="5334000" cy="3000375"/>
            <wp:effectExtent b="0" l="0" r="0" t="0"/>
            <wp:docPr descr="Figure 2.6: Coverage of confidence intervals for coin flips, n=20" title="" id="1" name="Picture"/>
            <a:graphic>
              <a:graphicData uri="http://schemas.openxmlformats.org/drawingml/2006/picture">
                <pic:pic>
                  <pic:nvPicPr>
                    <pic:cNvPr descr="resources/images/week_02_files/figure-docx//1U1PiqeXG4XoKmg8hRFJqE1OFDOJfificBz1jLeDunHo_g257d7b8e795_0_107.png" id="0"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5" w:name="fig21"/>
      <w:r>
        <w:t xml:space="preserve">Figure </w:t>
      </w:r>
      <w:fldSimple w:instr="SEQ Figure \* ARABIC ">
        <w:r>
          <w:t>21</w:t>
        </w:r>
      </w:fldSimple>
      <w:r>
        <w:t xml:space="preserve">:</w:t>
      </w:r>
      <w:r>
        <w:t xml:space="preserve"> </w:t>
      </w:r>
      <w:bookmarkEnd w:id="105"/>
      <w:r>
        <w:t xml:space="preserve">Figure 2.6: Coverage of confidence intervals for coin flips, n=20</w:t>
      </w:r>
    </w:p>
    <w:p>
      <w:pPr>
        <w:pStyle w:val="BodyText"/>
      </w:pPr>
      <w:r>
        <w:t xml:space="preserve">Although there is some Monte Carlo error due to the finite number of simulations, 1,000 simulations generally yield good accuracy. For a true success probability around 12%, the coverage falls well below the expected 95%. The reason behind this discrepancy is that the central limit theorem is not accurate enough for this specific value of n (the number of coin flips) and the true probability. To address this issue for smaller values of n, a quick fix is to add 2 to the number of successes and 2 to the number of failures. This adjustment modifies the sample proportion, making it</w:t>
      </w:r>
      <w:r>
        <w:t xml:space="preserve"> </w:t>
      </w:r>
      <m:oMath>
        <m:f>
          <m:fPr>
            <m:type m:val="bar"/>
          </m:fPr>
          <m:num>
            <m:r>
              <m:t>X</m:t>
            </m:r>
            <m:r>
              <m:rPr>
                <m:sty m:val="p"/>
              </m:rPr>
              <m:t>+</m:t>
            </m:r>
            <m:r>
              <m:t>2</m:t>
            </m:r>
          </m:num>
          <m:den>
            <m:r>
              <m:t>n</m:t>
            </m:r>
            <m:r>
              <m:rPr>
                <m:sty m:val="p"/>
              </m:rPr>
              <m:t>+</m:t>
            </m:r>
            <m:r>
              <m:t>4</m:t>
            </m:r>
          </m:den>
        </m:f>
      </m:oMath>
      <w:r>
        <w:t xml:space="preserve">. After applying this adjustment, the confidence interval procedure can be performed as usual. This modified interval is known as the</w:t>
      </w:r>
      <w:r>
        <w:t xml:space="preserve"> </w:t>
      </w:r>
      <w:r>
        <w:rPr>
          <w:iCs/>
          <w:i/>
        </w:rPr>
        <w:t xml:space="preserve">Agresti/Coull interval</w:t>
      </w:r>
      <w:r>
        <w:t xml:space="preserve"> </w:t>
      </w:r>
      <w:r>
        <w:t xml:space="preserve">and tends to perform better than the standard Wald interval. Before demonstrating the results for the adjusted intervals, it is important to note that larger values of n yield better performance. In a simulation where n is increased to 100, the coverage probability improves and remains close to the expected 95% across different values of p.</w:t>
      </w:r>
    </w:p>
    <w:p>
      <w:pPr>
        <w:pStyle w:val="CaptionedFigure"/>
      </w:pPr>
      <w:r>
        <w:drawing>
          <wp:inline>
            <wp:extent cx="5334000" cy="3000375"/>
            <wp:effectExtent b="0" l="0" r="0" t="0"/>
            <wp:docPr descr="Figure 2.7: Coverage of confidence intervals for coin flips, n=100" title="" id="1" name="Picture"/>
            <a:graphic>
              <a:graphicData uri="http://schemas.openxmlformats.org/drawingml/2006/picture">
                <pic:pic>
                  <pic:nvPicPr>
                    <pic:cNvPr descr="resources/images/week_02_files/figure-docx//1U1PiqeXG4XoKmg8hRFJqE1OFDOJfificBz1jLeDunHo_g257d7b8e795_0_110.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7" w:name="fig22"/>
      <w:r>
        <w:t xml:space="preserve">Figure </w:t>
      </w:r>
      <w:fldSimple w:instr="SEQ Figure \* ARABIC ">
        <w:r>
          <w:t>22</w:t>
        </w:r>
      </w:fldSimple>
      <w:r>
        <w:t xml:space="preserve">:</w:t>
      </w:r>
      <w:r>
        <w:t xml:space="preserve"> </w:t>
      </w:r>
      <w:bookmarkEnd w:id="107"/>
      <w:r>
        <w:t xml:space="preserve">Figure 2.7: Coverage of confidence intervals for coin flips, n=100</w:t>
      </w:r>
    </w:p>
    <w:p>
      <w:pPr>
        <w:pStyle w:val="BodyText"/>
      </w:pPr>
      <w:r>
        <w:t xml:space="preserve">Returning to the simulation with n=20, when using the add 2 successes and 2 failures interval, the coverage probability is higher than 95%, indicating an improvement compared to the poor coverage of the Wald interval for certain true probability values. However, it’s important to balance coverage and interval width, as being too conservative can lead to overly wide intervals. Based on these observations, we strongly recommend using the add 2 successes and 2 failures interval instead of the Wald interval in this specific scenario.</w:t>
      </w:r>
    </w:p>
    <w:p>
      <w:pPr>
        <w:pStyle w:val="CaptionedFigure"/>
      </w:pPr>
      <w:r>
        <w:drawing>
          <wp:inline>
            <wp:extent cx="5334000" cy="3000375"/>
            <wp:effectExtent b="0" l="0" r="0" t="0"/>
            <wp:docPr descr="Figure 2.8: Coverage of confidence intervals for coin flips, n=20, add 2 successes and 2 failures" title="" id="1" name="Picture"/>
            <a:graphic>
              <a:graphicData uri="http://schemas.openxmlformats.org/drawingml/2006/picture">
                <pic:pic>
                  <pic:nvPicPr>
                    <pic:cNvPr descr="resources/images/week_02_files/figure-docx//1U1PiqeXG4XoKmg8hRFJqE1OFDOJfificBz1jLeDunHo_g257d7b8e795_0_81.png" id="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9" w:name="fig23"/>
      <w:r>
        <w:t xml:space="preserve">Figure </w:t>
      </w:r>
      <w:fldSimple w:instr="SEQ Figure \* ARABIC ">
        <w:r>
          <w:t>23</w:t>
        </w:r>
      </w:fldSimple>
      <w:r>
        <w:t xml:space="preserve">:</w:t>
      </w:r>
      <w:r>
        <w:t xml:space="preserve"> </w:t>
      </w:r>
      <w:bookmarkEnd w:id="109"/>
      <w:r>
        <w:t xml:space="preserve">Figure 2.8: Coverage of confidence intervals for coin flips, n=20, add 2 successes and 2 failures</w:t>
      </w:r>
    </w:p>
    <w:p>
      <w:pPr>
        <w:pStyle w:val="BodyText"/>
      </w:pPr>
      <w:r>
        <w:t xml:space="preserve">Example: Create a Poisson interval using the formula that involves the estimate plus or minus the normal quantile standard error.</w:t>
      </w:r>
      <w:r>
        <w:t xml:space="preserve"> </w:t>
      </w:r>
      <w:r>
        <w:t xml:space="preserve">Although the application of the central limit theorem in this case may be less clear, we will discuss it shortly.Consider a nuclear pump that failed 5 times out of 94.32 days over a monitoring period. We want to calculate a 95% confidence interval for the failure rate per day. Assuming the number of failures follows a Poisson distribution with a failure rate of lambda and the monitoring period is denoted as t, the estimate of the failure rate is the number of failures divided by the total monitoring time. The variance of this estimate is</w:t>
      </w:r>
      <w:r>
        <w:t xml:space="preserve"> </w:t>
      </w:r>
      <m:oMath>
        <m:r>
          <m:t>λ</m:t>
        </m:r>
        <m:r>
          <m:rPr>
            <m:sty m:val="p"/>
          </m:rPr>
          <m:t>/</m:t>
        </m:r>
        <m:r>
          <m:t>t</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t </w:t>
      </w:r>
      <w:r>
        <w:rPr>
          <w:rStyle w:val="OtherTok"/>
        </w:rPr>
        <w:t xml:space="preserve">&lt;-</w:t>
      </w:r>
      <w:r>
        <w:rPr>
          <w:rStyle w:val="NormalTok"/>
        </w:rPr>
        <w:t xml:space="preserve"> </w:t>
      </w:r>
      <w:r>
        <w:rPr>
          <w:rStyle w:val="FloatTok"/>
        </w:rPr>
        <w:t xml:space="preserve">94.32</w:t>
      </w:r>
      <w:r>
        <w:rPr>
          <w:rStyle w:val="NormalTok"/>
        </w:rPr>
        <w:t xml:space="preserve">; lambda </w:t>
      </w:r>
      <w:r>
        <w:rPr>
          <w:rStyle w:val="OtherTok"/>
        </w:rPr>
        <w:t xml:space="preserve">&lt;-</w:t>
      </w:r>
      <w:r>
        <w:rPr>
          <w:rStyle w:val="NormalTok"/>
        </w:rPr>
        <w:t xml:space="preserve"> x </w:t>
      </w:r>
      <w:r>
        <w:rPr>
          <w:rStyle w:val="SpecialCharTok"/>
        </w:rPr>
        <w:t xml:space="preserve">/</w:t>
      </w:r>
      <w:r>
        <w:rPr>
          <w:rStyle w:val="NormalTok"/>
        </w:rPr>
        <w:t xml:space="preserve"> t</w:t>
      </w:r>
      <w:r>
        <w:br/>
      </w:r>
      <w:r>
        <w:rPr>
          <w:rStyle w:val="FunctionTok"/>
        </w:rPr>
        <w:t xml:space="preserve">round</w:t>
      </w:r>
      <w:r>
        <w:rPr>
          <w:rStyle w:val="NormalTok"/>
        </w:rPr>
        <w:t xml:space="preserve">(lambda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(lambda </w:t>
      </w:r>
      <w:r>
        <w:rPr>
          <w:rStyle w:val="SpecialCharTok"/>
        </w:rPr>
        <w:t xml:space="preserve">/</w:t>
      </w:r>
      <w:r>
        <w:rPr>
          <w:rStyle w:val="NormalTok"/>
        </w:rPr>
        <w:t xml:space="preserve"> t), </w:t>
      </w:r>
      <w:r>
        <w:rPr>
          <w:rStyle w:val="DecValTok"/>
        </w:rPr>
        <w:t xml:space="preserve">3</w:t>
      </w:r>
      <w:r>
        <w:rPr>
          <w:rStyle w:val="NormalTok"/>
        </w:rPr>
        <w:t xml:space="preserve">)</w:t>
      </w:r>
      <w:r>
        <w:br/>
      </w:r>
      <w:r>
        <w:rPr>
          <w:rStyle w:val="FunctionTok"/>
        </w:rPr>
        <w:t xml:space="preserve">poisson.test</w:t>
      </w:r>
      <w:r>
        <w:rPr>
          <w:rStyle w:val="NormalTok"/>
        </w:rPr>
        <w:t xml:space="preserve">(x, </w:t>
      </w:r>
      <w:r>
        <w:rPr>
          <w:rStyle w:val="AttributeTok"/>
        </w:rPr>
        <w:t xml:space="preserve">T =</w:t>
      </w:r>
      <w:r>
        <w:rPr>
          <w:rStyle w:val="NormalTok"/>
        </w:rPr>
        <w:t xml:space="preserve"> </w:t>
      </w:r>
      <w:r>
        <w:rPr>
          <w:rStyle w:val="FloatTok"/>
        </w:rPr>
        <w:t xml:space="preserve">94.32</w:t>
      </w:r>
      <w:r>
        <w:rPr>
          <w:rStyle w:val="NormalTok"/>
        </w:rPr>
        <w:t xml:space="preserve">)</w:t>
      </w:r>
      <w:r>
        <w:rPr>
          <w:rStyle w:val="SpecialCharTok"/>
        </w:rPr>
        <w:t xml:space="preserve">$</w:t>
      </w:r>
      <w:r>
        <w:rPr>
          <w:rStyle w:val="NormalTok"/>
        </w:rPr>
        <w:t xml:space="preserve">conf</w:t>
      </w:r>
    </w:p>
    <w:p>
      <w:pPr>
        <w:pStyle w:val="FirstParagraph"/>
      </w:pPr>
      <w:r>
        <w:t xml:space="preserve">In the calculations performed in R, the number of events</w:t>
      </w:r>
      <w:r>
        <w:t xml:space="preserve"> </w:t>
      </w:r>
      <m:oMath>
        <m:r>
          <m:t>x</m:t>
        </m:r>
      </m:oMath>
      <w:r>
        <w:t xml:space="preserve"> </w:t>
      </w:r>
      <w:r>
        <w:t xml:space="preserve">is set to 5, and the monitoring time</w:t>
      </w:r>
      <w:r>
        <w:t xml:space="preserve"> </w:t>
      </w:r>
      <m:oMath>
        <m:r>
          <m:t>t</m:t>
        </m:r>
      </m:oMath>
      <w:r>
        <w:t xml:space="preserve"> </w:t>
      </w:r>
      <w:r>
        <w:t xml:space="preserve">is 94.32. The rate estimate</w:t>
      </w:r>
      <w:r>
        <w:t xml:space="preserve"> </w:t>
      </w:r>
      <m:oMath>
        <m:acc>
          <m:accPr>
            <m:chr m:val="̂"/>
          </m:accPr>
          <m:e>
            <m:r>
              <m:t>λ</m:t>
            </m:r>
          </m:e>
        </m:acc>
      </m:oMath>
      <w:r>
        <w:t xml:space="preserve"> </w:t>
      </w:r>
      <w:r>
        <w:t xml:space="preserve">is computed as</w:t>
      </w:r>
      <w:r>
        <w:t xml:space="preserve"> </w:t>
      </w:r>
      <m:oMath>
        <m:r>
          <m:t>x</m:t>
        </m:r>
        <m:r>
          <m:rPr>
            <m:sty m:val="p"/>
          </m:rPr>
          <m:t>/</m:t>
        </m:r>
        <m:r>
          <m:t>t</m:t>
        </m:r>
      </m:oMath>
      <w:r>
        <w:t xml:space="preserve">, and the confidence interval estimate is obtained by adding or subtracting the relevant standard normal quantile multiplied by the standard error. The resulting interval is rounded to three decimal places. In addition to the large sample interval, we can also calculate an exact Poisson interval using the</w:t>
      </w:r>
      <w:r>
        <w:t xml:space="preserve"> </w:t>
      </w:r>
      <w:r>
        <w:rPr>
          <w:rStyle w:val="VerbatimChar"/>
        </w:rPr>
        <w:t xml:space="preserve">poisson.test</w:t>
      </w:r>
      <w:r>
        <w:t xml:space="preserve"> </w:t>
      </w:r>
      <w:r>
        <w:t xml:space="preserve">function in R. This exact interval guarantees the specified coverage (e.g., 95%), but it may be conservative and result in wider intervals than necessary.</w:t>
      </w:r>
    </w:p>
    <w:p>
      <w:pPr>
        <w:pStyle w:val="BodyText"/>
      </w:pPr>
      <w:r>
        <w:t xml:space="preserve">To examine how confidence intervals perform in repeated samplings, let’s conduct a simulation similar to the one for the coin example, but for the Poisson coverage rate. We select a range of</w:t>
      </w:r>
      <w:r>
        <w:t xml:space="preserve"> </w:t>
      </w:r>
      <m:oMath>
        <m:r>
          <m:t>λ</m:t>
        </m:r>
      </m:oMath>
      <w:r>
        <w:t xml:space="preserve"> </w:t>
      </w:r>
      <w:r>
        <w:t xml:space="preserve">values around those from our previous example and perform 1,000 simulations. The monitoring time is set to 100 for simplicity. We define coverage as the percentage of times the simulated interval contains the true</w:t>
      </w:r>
      <w:r>
        <w:t xml:space="preserve"> </w:t>
      </w:r>
      <m:oMath>
        <m:r>
          <m:t>λ</m:t>
        </m:r>
      </m:oMath>
      <w:r>
        <w:t xml:space="preserve"> </w:t>
      </w:r>
      <w:r>
        <w:t xml:space="preserve">value used in the simulation. The simulation is repeated for various</w:t>
      </w:r>
      <w:r>
        <w:t xml:space="preserve"> </w:t>
      </w:r>
      <m:oMath>
        <m:r>
          <m:t>λ</m:t>
        </m:r>
      </m:oMath>
      <w:r>
        <w:t xml:space="preserve"> </w:t>
      </w:r>
      <w:r>
        <w:t xml:space="preserve">values, and the resulting plot shows the</w:t>
      </w:r>
      <w:r>
        <w:t xml:space="preserve"> </w:t>
      </w:r>
      <m:oMath>
        <m:r>
          <m:t>λ</m:t>
        </m:r>
      </m:oMath>
      <w:r>
        <w:t xml:space="preserve"> </w:t>
      </w:r>
      <w:r>
        <w:t xml:space="preserve">values on the x-axis and the estimated coverage on the y-axis.</w:t>
      </w:r>
    </w:p>
    <w:p>
      <w:pPr>
        <w:pStyle w:val="CaptionedFigure"/>
      </w:pPr>
      <w:r>
        <w:drawing>
          <wp:inline>
            <wp:extent cx="5334000" cy="3000375"/>
            <wp:effectExtent b="0" l="0" r="0" t="0"/>
            <wp:docPr descr="Figure 2.9: Coverage of confidence intervals for Poisson data" title="" id="1" name="Picture"/>
            <a:graphic>
              <a:graphicData uri="http://schemas.openxmlformats.org/drawingml/2006/picture">
                <pic:pic>
                  <pic:nvPicPr>
                    <pic:cNvPr descr="resources/images/week_02_files/figure-docx//1U1PiqeXG4XoKmg8hRFJqE1OFDOJfificBz1jLeDunHo_g257d7b8e795_0_84.png" id="0" name="Picture"/>
                    <pic:cNvPicPr>
                      <a:picLocks noChangeArrowheads="1" noChangeAspect="1"/>
                    </pic:cNvPicPr>
                  </pic:nvPicPr>
                  <pic:blipFill>
                    <a:blip r:embed="rId11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1" w:name="fig24"/>
      <w:r>
        <w:t xml:space="preserve">Figure </w:t>
      </w:r>
      <w:fldSimple w:instr="SEQ Figure \* ARABIC ">
        <w:r>
          <w:t>24</w:t>
        </w:r>
      </w:fldSimple>
      <w:r>
        <w:t xml:space="preserve">:</w:t>
      </w:r>
      <w:r>
        <w:t xml:space="preserve"> </w:t>
      </w:r>
      <w:bookmarkEnd w:id="111"/>
      <w:r>
        <w:t xml:space="preserve">Figure 2.9: Coverage of confidence intervals for Poisson data</w:t>
      </w:r>
    </w:p>
    <w:p>
      <w:pPr>
        <w:pStyle w:val="BodyText"/>
      </w:pPr>
      <w:r>
        <w:t xml:space="preserve">The plot reveals that as</w:t>
      </w:r>
      <w:r>
        <w:t xml:space="preserve"> </w:t>
      </w:r>
      <m:oMath>
        <m:r>
          <m:t>λ</m:t>
        </m:r>
      </m:oMath>
      <w:r>
        <w:t xml:space="preserve"> </w:t>
      </w:r>
      <w:r>
        <w:t xml:space="preserve">values increase, the coverage approaches 95%. However, there is some Monte Carlo error due to the finite number of simulations. On the other hand, as the true</w:t>
      </w:r>
      <w:r>
        <w:t xml:space="preserve"> </w:t>
      </w:r>
      <m:oMath>
        <m:r>
          <m:t>λ</m:t>
        </m:r>
      </m:oMath>
      <w:r>
        <w:t xml:space="preserve"> </w:t>
      </w:r>
      <w:r>
        <w:t xml:space="preserve">value becomes smaller, the coverage deteriorates significantly. For very small</w:t>
      </w:r>
      <w:r>
        <w:t xml:space="preserve"> </w:t>
      </w:r>
      <m:oMath>
        <m:r>
          <m:t>λ</m:t>
        </m:r>
      </m:oMath>
      <w:r>
        <w:t xml:space="preserve"> </w:t>
      </w:r>
      <w:r>
        <w:t xml:space="preserve">values, the purported 95% interval may only provide 50% actual coverage. To address this issue, it is recommended not to rely on the asymptotic interval for small</w:t>
      </w:r>
      <w:r>
        <w:t xml:space="preserve"> </w:t>
      </w:r>
      <m:oMath>
        <m:r>
          <m:t>λ</m:t>
        </m:r>
      </m:oMath>
      <w:r>
        <w:t xml:space="preserve"> </w:t>
      </w:r>
      <w:r>
        <w:t xml:space="preserve">values, especially when there are relatively few events during a large monitoring time. In such cases, the asymptotic interval does not align well with the Poisson distribution. Instead, an exact Poisson interval can be used as an alternative.</w:t>
      </w:r>
    </w:p>
    <w:p>
      <w:pPr>
        <w:pStyle w:val="BodyText"/>
      </w:pPr>
      <w:r>
        <w:t xml:space="preserve">Although the central limit theorem’s application in the Poisson case may not be immediately clear, a simulation with a larger monitoring time (e.g., changing t from 100 to 1,000) demonstrates that as the monitoring time increases, the coverage improves and converges to 95% for most</w:t>
      </w:r>
      <w:r>
        <w:t xml:space="preserve"> </w:t>
      </w:r>
      <m:oMath>
        <m:r>
          <m:t>λ</m:t>
        </m:r>
      </m:oMath>
      <w:r>
        <w:t xml:space="preserve"> </w:t>
      </w:r>
      <w:r>
        <w:t xml:space="preserve">values. However, some poor coverage may still occur for small</w:t>
      </w:r>
      <w:r>
        <w:t xml:space="preserve"> </w:t>
      </w:r>
      <m:oMath>
        <m:r>
          <m:t>λ</m:t>
        </m:r>
      </m:oMath>
      <w:r>
        <w:t xml:space="preserve"> </w:t>
      </w:r>
      <w:r>
        <w:t xml:space="preserve">values, which we know the interval has trouble handling. In such cases, the exact Poisson interval remains a viable option.</w:t>
      </w:r>
    </w:p>
    <w:p>
      <w:pPr>
        <w:pStyle w:val="CaptionedFigure"/>
      </w:pPr>
      <w:r>
        <w:drawing>
          <wp:inline>
            <wp:extent cx="5334000" cy="3000375"/>
            <wp:effectExtent b="0" l="0" r="0" t="0"/>
            <wp:docPr descr="Figure 2.10: Coverage of confidence intervals for Poisson data, t=1000" title="" id="1" name="Picture"/>
            <a:graphic>
              <a:graphicData uri="http://schemas.openxmlformats.org/drawingml/2006/picture">
                <pic:pic>
                  <pic:nvPicPr>
                    <pic:cNvPr descr="resources/images/week_02_files/figure-docx//1U1PiqeXG4XoKmg8hRFJqE1OFDOJfificBz1jLeDunHo_g257d7b8e795_0_122.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3" w:name="fig25"/>
      <w:r>
        <w:t xml:space="preserve">Figure </w:t>
      </w:r>
      <w:fldSimple w:instr="SEQ Figure \* ARABIC ">
        <w:r>
          <w:t>25</w:t>
        </w:r>
      </w:fldSimple>
      <w:r>
        <w:t xml:space="preserve">:</w:t>
      </w:r>
      <w:r>
        <w:t xml:space="preserve"> </w:t>
      </w:r>
      <w:bookmarkEnd w:id="113"/>
      <w:r>
        <w:t xml:space="preserve">Figure 2.10: Coverage of confidence intervals for Poisson data, t=1000</w:t>
      </w:r>
    </w:p>
    <w:p>
      <w:pPr>
        <w:pStyle w:val="BodyText"/>
      </w:pPr>
      <w:r>
        <w:t xml:space="preserve">To summarize briefly, we covered the Law of Large Numbers, which states that averages of independent and identically distributed (iid) random variables converge to the quantities they are estimating. This applies to Poisson rates as well, although the convergence process may be less clear. As the monitoring time tends to infinity, for example, Poisson rates converge to their estimated values. We also discussed the Central Limit Theorem, which states that averages are approximately normally distributed. These distributions are centered at the population mean, a concept we already knew without the theorem, with standard deviations equal to the standard error of the mean. However, the Central Limit Theorem does not guarantee that the sample size is large enough for this approximation to be accurate. We have observed instances where confidence intervals are very accurate and others where they are less accurate. Speaking of confidence intervals, our default approach for constructing them is to take the mean estimate and add or subtract the relevant normal quantile times the standard error. This method, known as</w:t>
      </w:r>
      <w:r>
        <w:t xml:space="preserve"> </w:t>
      </w:r>
      <w:r>
        <w:t xml:space="preserve">“</w:t>
      </w:r>
      <w:r>
        <w:t xml:space="preserve">walled intervals,</w:t>
      </w:r>
      <w:r>
        <w:t xml:space="preserve">”</w:t>
      </w:r>
      <w:r>
        <w:t xml:space="preserve"> </w:t>
      </w:r>
      <w:r>
        <w:t xml:space="preserve">is used not only in this context but also in regression analysis, general linear models, and other complex subjects. For a 95% confidence interval, the quantile value can be taken as 2 or, for more accuracy, 1.96. Confidence intervals become wider as the desired coverage increases within a specific technique. This is because wider intervals provide more certainty that the parameter lies within them. To illustrate, imagine an extreme scenario where your life depends on the confidence interval containing the true parameter. In this case, you would want to make the interval as wide as possible to ensure your safety. The mathematics behind confidence intervals follows the same principle.</w:t>
      </w:r>
      <w:r>
        <w:t xml:space="preserve"> </w:t>
      </w:r>
      <w:r>
        <w:t xml:space="preserve">In the cases of Poisson and binomial distributions, which are discrete, the Central Limit Theorem may not accurately approximate their distributions. However, exact procedures exist for these cases. We also learned a simple fix for constructing confidence intervals in the binomial case by adding two successes and two failures, which provides a better interval without requiring complex computations. This method can be easily done by hand or mentally, even without access to a computer.</w:t>
      </w:r>
    </w:p>
    <w:p>
      <w:pPr>
        <w:numPr>
          <w:ilvl w:val="0"/>
          <w:numId w:val="1007"/>
        </w:numPr>
        <w:pStyle w:val="Compact"/>
      </w:pPr>
      <w:r>
        <w:t xml:space="preserve">The LLN states that averages of iid samples converge to the population means that they are estimating</w:t>
      </w:r>
    </w:p>
    <w:p>
      <w:pPr>
        <w:numPr>
          <w:ilvl w:val="0"/>
          <w:numId w:val="1007"/>
        </w:numPr>
        <w:pStyle w:val="Compact"/>
      </w:pPr>
      <w:r>
        <w:t xml:space="preserve">The CLT states that averages are approximately normal, with distributions</w:t>
      </w:r>
    </w:p>
    <w:p>
      <w:pPr>
        <w:numPr>
          <w:ilvl w:val="1"/>
          <w:numId w:val="1008"/>
        </w:numPr>
        <w:pStyle w:val="Compact"/>
      </w:pPr>
      <w:r>
        <w:t xml:space="preserve">centered at the population mean</w:t>
      </w:r>
    </w:p>
    <w:p>
      <w:pPr>
        <w:numPr>
          <w:ilvl w:val="1"/>
          <w:numId w:val="1008"/>
        </w:numPr>
        <w:pStyle w:val="Compact"/>
      </w:pPr>
      <w:r>
        <w:t xml:space="preserve">with standard deviation equal to the standard error of the mean</w:t>
      </w:r>
    </w:p>
    <w:p>
      <w:pPr>
        <w:numPr>
          <w:ilvl w:val="1"/>
          <w:numId w:val="1008"/>
        </w:numPr>
        <w:pStyle w:val="Compact"/>
      </w:pPr>
      <w:r>
        <w:t xml:space="preserve">CLT gives no guarantee that</w:t>
      </w:r>
      <w:r>
        <w:t xml:space="preserve"> </w:t>
      </w:r>
      <m:oMath>
        <m:r>
          <m:t>n</m:t>
        </m:r>
      </m:oMath>
      <w:r>
        <w:t xml:space="preserve"> </w:t>
      </w:r>
      <w:r>
        <w:t xml:space="preserve">is large enough</w:t>
      </w:r>
    </w:p>
    <w:p>
      <w:pPr>
        <w:numPr>
          <w:ilvl w:val="0"/>
          <w:numId w:val="1007"/>
        </w:numPr>
        <w:pStyle w:val="Compact"/>
      </w:pPr>
      <w:r>
        <w:t xml:space="preserve">Taking the mean and adding and subtracting the relevant normal quantile times the SE yields a confidence interval for the mean</w:t>
      </w:r>
    </w:p>
    <w:p>
      <w:pPr>
        <w:numPr>
          <w:ilvl w:val="1"/>
          <w:numId w:val="1009"/>
        </w:numPr>
        <w:pStyle w:val="Compact"/>
      </w:pPr>
      <w:r>
        <w:t xml:space="preserve">Adding and subtracting 2 SEs works for 95% intervals</w:t>
      </w:r>
    </w:p>
    <w:p>
      <w:pPr>
        <w:numPr>
          <w:ilvl w:val="0"/>
          <w:numId w:val="1007"/>
        </w:numPr>
        <w:pStyle w:val="Compact"/>
      </w:pPr>
      <w:r>
        <w:t xml:space="preserve">Confidence intervals get wider as the coverage increases (why?)</w:t>
      </w:r>
    </w:p>
    <w:p>
      <w:pPr>
        <w:numPr>
          <w:ilvl w:val="0"/>
          <w:numId w:val="1007"/>
        </w:numPr>
        <w:pStyle w:val="Compact"/>
      </w:pPr>
      <w:r>
        <w:t xml:space="preserve">Confidence intervals get narrower with less variability or larger sample sizes</w:t>
      </w:r>
    </w:p>
    <w:p>
      <w:pPr>
        <w:numPr>
          <w:ilvl w:val="0"/>
          <w:numId w:val="1007"/>
        </w:numPr>
        <w:pStyle w:val="Compact"/>
      </w:pPr>
      <w:r>
        <w:t xml:space="preserve">The Poisson and binomial case have exact intervals that don’t require the CLT</w:t>
      </w:r>
    </w:p>
    <w:p>
      <w:pPr>
        <w:numPr>
          <w:ilvl w:val="1"/>
          <w:numId w:val="1010"/>
        </w:numPr>
        <w:pStyle w:val="Compact"/>
      </w:pPr>
      <w:r>
        <w:t xml:space="preserve">But a quick fix for small sample size binomial calculations is to add 2 successes and failures</w:t>
      </w:r>
    </w:p>
    <w:bookmarkEnd w:id="114"/>
    <w:bookmarkEnd w:id="115"/>
    <w:bookmarkStart w:id="116" w:name="practical-r-exercises-in-swirl-1"/>
    <w:p>
      <w:pPr>
        <w:pStyle w:val="Heading2"/>
      </w:pPr>
      <w:r>
        <w:rPr>
          <w:rStyle w:val="SectionNumber"/>
        </w:rPr>
        <w:t xml:space="preserve">2.3</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11"/>
        </w:numPr>
        <w:pStyle w:val="Compact"/>
      </w:pPr>
      <w:r>
        <w:t xml:space="preserve">Variance</w:t>
      </w:r>
    </w:p>
    <w:p>
      <w:pPr>
        <w:numPr>
          <w:ilvl w:val="0"/>
          <w:numId w:val="1011"/>
        </w:numPr>
        <w:pStyle w:val="Compact"/>
      </w:pPr>
      <w:r>
        <w:t xml:space="preserve">CommonDistros</w:t>
      </w:r>
    </w:p>
    <w:p>
      <w:pPr>
        <w:numPr>
          <w:ilvl w:val="0"/>
          <w:numId w:val="1011"/>
        </w:numPr>
        <w:pStyle w:val="Compact"/>
      </w:pPr>
      <w:r>
        <w:t xml:space="preserve">Asymptotics</w:t>
      </w:r>
    </w:p>
    <w:bookmarkEnd w:id="116"/>
    <w:bookmarkEnd w:id="117"/>
    <w:bookmarkStart w:id="138"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30"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resources/images/week_03_files/figure-docx//1U1PiqeXG4XoKmg8hRFJqE1OFDOJfificBz1jLeDunHo_g257d7b8e795_0_128.png" id="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9" w:name="fig26"/>
      <w:r>
        <w:t xml:space="preserve">Figure </w:t>
      </w:r>
      <w:fldSimple w:instr="SEQ Figure \* ARABIC ">
        <w:r>
          <w:t>26</w:t>
        </w:r>
      </w:fldSimple>
      <w:r>
        <w:t xml:space="preserve">:</w:t>
      </w:r>
      <w:r>
        <w:t xml:space="preserve"> </w:t>
      </w:r>
      <w:bookmarkEnd w:id="119"/>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resources/images/week_03_files/figure-docx//1U1PiqeXG4XoKmg8hRFJqE1OFDOJfificBz1jLeDunHo_g257d7b8e795_0_131.png" id="0" name="Picture"/>
                    <pic:cNvPicPr>
                      <a:picLocks noChangeArrowheads="1" noChangeAspect="1"/>
                    </pic:cNvPicPr>
                  </pic:nvPicPr>
                  <pic:blipFill>
                    <a:blip r:embed="rId1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1" w:name="fig27"/>
      <w:r>
        <w:t xml:space="preserve">Figure </w:t>
      </w:r>
      <w:fldSimple w:instr="SEQ Figure \* ARABIC ">
        <w:r>
          <w:t>27</w:t>
        </w:r>
      </w:fldSimple>
      <w:r>
        <w:t xml:space="preserve">:</w:t>
      </w:r>
      <w:r>
        <w:t xml:space="preserve"> </w:t>
      </w:r>
      <w:bookmarkEnd w:id="121"/>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resources/images/week_03_files/figure-docx//1U1PiqeXG4XoKmg8hRFJqE1OFDOJfificBz1jLeDunHo_g257d7b8e795_0_134.png" id="0"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3" w:name="fig28"/>
      <w:r>
        <w:t xml:space="preserve">Figure </w:t>
      </w:r>
      <w:fldSimple w:instr="SEQ Figure \* ARABIC ">
        <w:r>
          <w:t>28</w:t>
        </w:r>
      </w:fldSimple>
      <w:r>
        <w:t xml:space="preserve">:</w:t>
      </w:r>
      <w:r>
        <w:t xml:space="preserve"> </w:t>
      </w:r>
      <w:bookmarkEnd w:id="123"/>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28"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resources/images/week_03_files/figure-docx//1U1PiqeXG4XoKmg8hRFJqE1OFDOJfificBz1jLeDunHo_g257d7b8e795_0_137.png" id="0" name="Picture"/>
                    <pic:cNvPicPr>
                      <a:picLocks noChangeArrowheads="1" noChangeAspect="1"/>
                    </pic:cNvPicPr>
                  </pic:nvPicPr>
                  <pic:blipFill>
                    <a:blip r:embed="rId12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5" w:name="fig29"/>
      <w:r>
        <w:t xml:space="preserve">Figure </w:t>
      </w:r>
      <w:fldSimple w:instr="SEQ Figure \* ARABIC ">
        <w:r>
          <w:t>29</w:t>
        </w:r>
      </w:fldSimple>
      <w:r>
        <w:t xml:space="preserve">:</w:t>
      </w:r>
      <w:r>
        <w:t xml:space="preserve"> </w:t>
      </w:r>
      <w:bookmarkEnd w:id="125"/>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resources/images/week_03_files/figure-docx//1U1PiqeXG4XoKmg8hRFJqE1OFDOJfificBz1jLeDunHo_g257d7b8e795_0_160.png" id="0"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7" w:name="fig30"/>
      <w:r>
        <w:t xml:space="preserve">Figure </w:t>
      </w:r>
      <w:fldSimple w:instr="SEQ Figure \* ARABIC ">
        <w:r>
          <w:t>30</w:t>
        </w:r>
      </w:fldSimple>
      <w:r>
        <w:t xml:space="preserve">:</w:t>
      </w:r>
      <w:r>
        <w:t xml:space="preserve"> </w:t>
      </w:r>
      <w:bookmarkEnd w:id="127"/>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28"/>
    <w:bookmarkStart w:id="129"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29"/>
    <w:bookmarkEnd w:id="130"/>
    <w:bookmarkStart w:id="132"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31"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31"/>
    <w:bookmarkEnd w:id="132"/>
    <w:bookmarkStart w:id="133"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33"/>
    <w:bookmarkStart w:id="136"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2.4: Knitr rendered Rmd file" title="" id="1" name="Picture"/>
            <a:graphic>
              <a:graphicData uri="http://schemas.openxmlformats.org/drawingml/2006/picture">
                <pic:pic>
                  <pic:nvPicPr>
                    <pic:cNvPr descr="resources/images/week_03_files/figure-docx//1U1PiqeXG4XoKmg8hRFJqE1OFDOJfificBz1jLeDunHo_g257d7b8e795_0_163.png" id="0"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5" w:name="fig31"/>
      <w:r>
        <w:t xml:space="preserve">Figure </w:t>
      </w:r>
      <w:fldSimple w:instr="SEQ Figure \* ARABIC ">
        <w:r>
          <w:t>31</w:t>
        </w:r>
      </w:fldSimple>
      <w:r>
        <w:t xml:space="preserve">:</w:t>
      </w:r>
      <w:r>
        <w:t xml:space="preserve"> </w:t>
      </w:r>
      <w:bookmarkEnd w:id="135"/>
      <w:r>
        <w:t xml:space="preserve">Figure 2.4: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36"/>
    <w:bookmarkStart w:id="137" w:name="practical-r-exercises-in-swirl-2"/>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12"/>
        </w:numPr>
        <w:pStyle w:val="Compact"/>
      </w:pPr>
      <w:r>
        <w:t xml:space="preserve">T Confidence Intervals</w:t>
      </w:r>
    </w:p>
    <w:p>
      <w:pPr>
        <w:numPr>
          <w:ilvl w:val="0"/>
          <w:numId w:val="1012"/>
        </w:numPr>
        <w:pStyle w:val="Compact"/>
      </w:pPr>
      <w:r>
        <w:t xml:space="preserve">Hypothesis Testing</w:t>
      </w:r>
    </w:p>
    <w:p>
      <w:pPr>
        <w:numPr>
          <w:ilvl w:val="0"/>
          <w:numId w:val="1012"/>
        </w:numPr>
        <w:pStyle w:val="Compact"/>
      </w:pPr>
      <w:r>
        <w:t xml:space="preserve">P Values</w:t>
      </w:r>
    </w:p>
    <w:bookmarkEnd w:id="137"/>
    <w:bookmarkEnd w:id="138"/>
    <w:bookmarkStart w:id="177" w:name="power-bootstrapping-permutation-tests"/>
    <w:p>
      <w:pPr>
        <w:pStyle w:val="Heading1"/>
      </w:pPr>
      <w:r>
        <w:rPr>
          <w:rStyle w:val="SectionNumber"/>
        </w:rPr>
        <w:t xml:space="preserve">4</w:t>
      </w:r>
      <w:r>
        <w:tab/>
      </w:r>
      <w:r>
        <w:t xml:space="preserve">Power, Bootstrapping, &amp; Permutation Tests</w:t>
      </w:r>
    </w:p>
    <w:p>
      <w:pPr>
        <w:pStyle w:val="FirstParagraph"/>
      </w:pPr>
      <w:r>
        <w:t xml:space="preserve">We’ve talked about a Type I error, rejecting the null hypothesis when it’s true. We’ve structured our hypothesis test so that the probability of this happening is small. The other kind of error we could make is to fail to reject when the alternative is true (</w:t>
      </w:r>
      <w:r>
        <w:rPr>
          <w:bCs/>
          <w:b/>
        </w:rPr>
        <w:t xml:space="preserve">Type II error</w:t>
      </w:r>
      <w:r>
        <w:t xml:space="preserve">). Or we might think about the probability of rejecting the null when it is false. This is called</w:t>
      </w:r>
      <w:r>
        <w:t xml:space="preserve"> </w:t>
      </w:r>
      <w:r>
        <w:rPr>
          <w:bCs/>
          <w:b/>
        </w:rPr>
        <w:t xml:space="preserve">Power = 1 - Type II error</w:t>
      </w:r>
      <w:r>
        <w:t xml:space="preserve">. We don’t have as much control over this probability, since we’ve spent all of our flexibility guaranteeing that the Type I error rate is small. One avenue for the control of power is at the design phase. There, assuming our finances let us, we can pick a large enough sample size so that we’d be likely to reject if the alternative is true. Thus the most frequent use of power is to help us design studies.</w:t>
      </w:r>
    </w:p>
    <w:bookmarkStart w:id="144" w:name="power"/>
    <w:p>
      <w:pPr>
        <w:pStyle w:val="Heading2"/>
      </w:pPr>
      <w:r>
        <w:rPr>
          <w:rStyle w:val="SectionNumber"/>
        </w:rPr>
        <w:t xml:space="preserve">4.1</w:t>
      </w:r>
      <w:r>
        <w:tab/>
      </w:r>
      <w:r>
        <w:t xml:space="preserve">Power</w:t>
      </w:r>
    </w:p>
    <w:p>
      <w:pPr>
        <w:pStyle w:val="FirstParagraph"/>
      </w:pPr>
      <w:r>
        <w:t xml:space="preserve">Power refers to the probability of rejecting the null hypothesis when it is actually false. As the name suggests, having more power is desirable. Interestingly, power becomes more significant when we fail to reject the null hypothesis than when we do reject it! This is because when we reject the null hypothesis, we are confident that the alternative hypothesis is true. However, when we fail to reject the null hypothesis, we are unsure whether the null hypothesis is true or if we simply failed to detect the alternative hypothesis. Therefore, power is more relevant when we fail to reject the null hypothesis.</w:t>
      </w:r>
    </w:p>
    <w:p>
      <w:pPr>
        <w:pStyle w:val="BodyText"/>
      </w:pPr>
      <w:r>
        <w:t xml:space="preserve">Imagine conducting a study to compare Treatment A and Treatment B, where you only randomized three individuals to each treatment. In this case, if you find no significant difference between the two treatments, it wouldn’t be surprising because the small sample size limits your power to detect meaningful differences. The null result is somewhat expected due to the limited data. On the other hand, if you had 300 individuals in each treatment group and still failed to reject the null hypothesis, it would be more meaningful because with such a large sample size, you would expect to observe a difference if it truly existed. Therefore, power comes into play more prominently with null results rather than non-null results. Power is commonly considered during the study design phase. You want to design your study in a way that provides a reasonable chance of detecting the alternative hypothesis if it is true. This involves carefully selecting factors like sample size, statistical tests, and effect sizes.</w:t>
      </w:r>
    </w:p>
    <w:p>
      <w:pPr>
        <w:pStyle w:val="BodyText"/>
      </w:pPr>
      <w:r>
        <w:t xml:space="preserve">A type II error, also known as a</w:t>
      </w:r>
      <w:r>
        <w:t xml:space="preserve"> </w:t>
      </w:r>
      <w:r>
        <w:rPr>
          <w:bCs/>
          <w:b/>
        </w:rPr>
        <w:t xml:space="preserve">beta error</w:t>
      </w:r>
      <w:r>
        <w:t xml:space="preserve">, is the failure to reject a false null hypothesis. It is undesirable because it means missing a true effect or relationship. Power is simply</w:t>
      </w:r>
      <w:r>
        <w:t xml:space="preserve"> </w:t>
      </w:r>
      <m:oMath>
        <m:r>
          <m:t>1</m:t>
        </m:r>
        <m:r>
          <m:rPr>
            <m:sty m:val="p"/>
          </m:rPr>
          <m:t>−</m:t>
        </m:r>
        <m:r>
          <m:t>β</m:t>
        </m:r>
      </m:oMath>
      <w:r>
        <w:t xml:space="preserve">, representing the probability of correctly rejecting the null hypothesis. In hypothesis testing, the two crucial quantities are the type I error rate (</w:t>
      </w:r>
      <m:oMath>
        <m:r>
          <m:t>α</m:t>
        </m:r>
      </m:oMath>
      <w:r>
        <w:t xml:space="preserve">) and the type II error rate (</w:t>
      </w:r>
      <m:oMath>
        <m:r>
          <m:t>β</m:t>
        </m:r>
      </m:oMath>
      <w:r>
        <w:t xml:space="preserve">). However, we often discuss power (</w:t>
      </w:r>
      <m:oMath>
        <m:r>
          <m:t>1</m:t>
        </m:r>
        <m:r>
          <m:rPr>
            <m:sty m:val="p"/>
          </m:rPr>
          <m:t>−</m:t>
        </m:r>
        <m:r>
          <m:t>β</m:t>
        </m:r>
      </m:oMath>
      <w:r>
        <w:t xml:space="preserve">) rather than</w:t>
      </w:r>
      <w:r>
        <w:t xml:space="preserve"> </w:t>
      </w:r>
      <m:oMath>
        <m:r>
          <m:t>β</m:t>
        </m:r>
      </m:oMath>
      <w:r>
        <w:t xml:space="preserve"> </w:t>
      </w:r>
      <w:r>
        <w:t xml:space="preserve">itself.</w:t>
      </w:r>
    </w:p>
    <w:p>
      <w:pPr>
        <w:pStyle w:val="BodyText"/>
      </w:pPr>
      <w:r>
        <w:t xml:space="preserve">Suppose we are interested in testing the mean respiratory disturbance index (RDI) in a specific population of obese subjects. We want to compare whether the mean RDI (</w:t>
      </w:r>
      <m:oMath>
        <m:r>
          <m:t>μ</m:t>
        </m:r>
        <m:r>
          <m:rPr>
            <m:sty m:val="p"/>
          </m:rPr>
          <m:t>≥</m:t>
        </m:r>
        <m:r>
          <m:t>30</m:t>
        </m:r>
      </m:oMath>
      <w:r>
        <w:t xml:space="preserve">) . We calculate a t-statistic, which follows a t-distribution under the null hypothesis assumption. By calculating the probability of obtaining a t-statistic larger than the upper quantile of the t-distribution at the significance level</w:t>
      </w:r>
      <w:r>
        <w:t xml:space="preserve"> </w:t>
      </w:r>
      <m:oMath>
        <m:r>
          <m:t>α</m:t>
        </m:r>
      </m:oMath>
      <w:r>
        <w:t xml:space="preserve">, we determine the probability of rejecting the null hypothesis under the assumption that</w:t>
      </w:r>
      <w:r>
        <w:t xml:space="preserve"> </w:t>
      </w:r>
      <m:oMath>
        <m:r>
          <m:t>μ</m:t>
        </m:r>
        <m:r>
          <m:rPr>
            <m:sty m:val="p"/>
          </m:rPr>
          <m:t>=</m:t>
        </m:r>
        <m:r>
          <m:t>30</m:t>
        </m:r>
      </m:oMath>
      <w:r>
        <w:t xml:space="preserve">. This probability corresponds to</w:t>
      </w:r>
      <w:r>
        <w:t xml:space="preserve"> </w:t>
      </w:r>
      <m:oMath>
        <m:r>
          <m:t>α</m:t>
        </m:r>
      </m:oMath>
      <w:r>
        <w:t xml:space="preserve">.</w:t>
      </w:r>
    </w:p>
    <w:p>
      <w:pPr>
        <w:pStyle w:val="BodyText"/>
      </w:pPr>
      <w:r>
        <w:t xml:space="preserve">Power, on the other hand, is calculated similarly but with the alternative hypothesis in mind. Instead of plugging in</w:t>
      </w:r>
      <w:r>
        <w:t xml:space="preserve"> </w:t>
      </w:r>
      <m:oMath>
        <m:r>
          <m:t>μ</m:t>
        </m:r>
        <m:r>
          <m:rPr>
            <m:sty m:val="p"/>
          </m:rPr>
          <m:t>=</m:t>
        </m:r>
        <m:r>
          <m:t>30</m:t>
        </m:r>
      </m:oMath>
      <w:r>
        <w:t xml:space="preserve">, we use a value greater than 30. Power represents the probability of correctly rejecting the null hypothesis when the true mean (</w:t>
      </w:r>
      <m:oMath>
        <m:r>
          <m:t>μ</m:t>
        </m:r>
        <m:r>
          <m:rPr>
            <m:sty m:val="p"/>
          </m:rPr>
          <m:t>&gt;</m:t>
        </m:r>
        <m:r>
          <m:t>30</m:t>
        </m:r>
      </m:oMath>
      <w:r>
        <w:t xml:space="preserve">). If we consider a larger</w:t>
      </w:r>
      <w:r>
        <w:t xml:space="preserve"> </w:t>
      </w:r>
      <m:oMath>
        <m:r>
          <m:t>μ</m:t>
        </m:r>
      </m:oMath>
      <w:r>
        <w:t xml:space="preserve">, such as 60, our power will increase because we’ll have a higher chance of detecting the difference. Conversely, if the true alternative mean is very close to the null value, say 30.00001, our power will be lower since it is more challenging to detect such a small difference. Thus, power is a function that depends on the mean under the null hypothesis. Values close to the null mean will resemble the type I error rate, while values far from it will yield higher power, potentially approaching 100%.</w:t>
      </w:r>
    </w:p>
    <w:bookmarkStart w:id="143" w:name="calculating-power"/>
    <w:p>
      <w:pPr>
        <w:pStyle w:val="Heading3"/>
      </w:pPr>
      <w:r>
        <w:rPr>
          <w:rStyle w:val="SectionNumber"/>
        </w:rPr>
        <w:t xml:space="preserve">4.1.1</w:t>
      </w:r>
      <w:r>
        <w:tab/>
      </w:r>
      <w:r>
        <w:t xml:space="preserve">Calculating Power</w:t>
      </w:r>
    </w:p>
    <w:p>
      <w:pPr>
        <w:pStyle w:val="FirstParagraph"/>
      </w:pPr>
      <w:r>
        <w:t xml:space="preserve">Assume a sample with normal distribution. This assumption is true either because we have a large sample size and can apply the central limit theorem, or we can simply assume that the underlying population is normally distributed. For the sake of argument, let’s assume that the sample mean (</w:t>
      </w:r>
      <m:oMath>
        <m:acc>
          <m:accPr>
            <m:chr m:val="‾"/>
          </m:accPr>
          <m:e>
            <m:r>
              <m:t>X</m:t>
            </m:r>
          </m:e>
        </m:acc>
      </m:oMath>
      <w:r>
        <w:t xml:space="preserve">) is normally distributed, and the population standard deviation (</w:t>
      </w:r>
      <m:oMath>
        <m:r>
          <m:t>σ</m:t>
        </m:r>
      </m:oMath>
      <w:r>
        <w:t xml:space="preserve">) is known. In this scenario, we would reject the null hypothesis if our Z-statistic:</w:t>
      </w:r>
      <w:r>
        <w:t xml:space="preserve"> </w:t>
      </w:r>
      <m:oMath>
        <m:f>
          <m:fPr>
            <m:type m:val="bar"/>
          </m:fPr>
          <m:num>
            <m:acc>
              <m:accPr>
                <m:chr m:val="‾"/>
              </m:accPr>
              <m:e>
                <m:r>
                  <m:t>X</m:t>
                </m:r>
              </m:e>
            </m:acc>
            <m:r>
              <m:rPr>
                <m:sty m:val="p"/>
              </m:rPr>
              <m:t>−</m:t>
            </m:r>
            <m:r>
              <m:t>30</m:t>
            </m:r>
          </m:num>
          <m:den>
            <m:r>
              <m:t>σ</m:t>
            </m:r>
            <m:r>
              <m:rPr>
                <m:sty m:val="p"/>
              </m:rPr>
              <m:t>/</m:t>
            </m:r>
            <m:rad>
              <m:radPr>
                <m:degHide m:val="1"/>
              </m:radPr>
              <m:deg/>
              <m:e>
                <m:r>
                  <m:t>n</m:t>
                </m:r>
              </m:e>
            </m:rad>
          </m:den>
        </m:f>
        <m:r>
          <m:rPr>
            <m:sty m:val="p"/>
          </m:rPr>
          <m:t>&gt;</m:t>
        </m:r>
        <m:sSub>
          <m:e>
            <m:r>
              <m:t>Z</m:t>
            </m:r>
          </m:e>
          <m:sub>
            <m:r>
              <m:t>1</m:t>
            </m:r>
            <m:r>
              <m:rPr>
                <m:sty m:val="p"/>
              </m:rPr>
              <m:t>−</m:t>
            </m:r>
            <m:r>
              <m:t>α</m:t>
            </m:r>
          </m:sub>
        </m:sSub>
      </m:oMath>
    </w:p>
    <w:p>
      <w:pPr>
        <w:pStyle w:val="BodyText"/>
      </w:pPr>
      <w:r>
        <w:t xml:space="preserve">Alternatively, we can state that we will reject the null hypothesis if</w:t>
      </w:r>
      <w:r>
        <w:t xml:space="preserve"> </w:t>
      </w:r>
      <m:oMath>
        <m:acc>
          <m:accPr>
            <m:chr m:val="‾"/>
          </m:accPr>
          <m:e>
            <m:r>
              <m:t>X</m:t>
            </m:r>
          </m:e>
        </m:acc>
      </m:oMath>
      <w:r>
        <w:t xml:space="preserve"> </w:t>
      </w:r>
      <w:r>
        <w:t xml:space="preserve">is greater than 30 plus the product of the z quantile and the standard error of the mean.</w:t>
      </w:r>
    </w:p>
    <w:p>
      <w:pPr>
        <w:pStyle w:val="BodyText"/>
      </w:pPr>
      <m:oMathPara>
        <m:oMathParaPr>
          <m:jc m:val="center"/>
        </m:oMathParaPr>
        <m:oMath>
          <m:acc>
            <m:accPr>
              <m:chr m:val="‾"/>
            </m:accPr>
            <m:e>
              <m:r>
                <m:t>X</m:t>
              </m:r>
            </m:e>
          </m:acc>
          <m:r>
            <m:rPr>
              <m:sty m:val="p"/>
            </m:rPr>
            <m:t>&gt;</m:t>
          </m:r>
          <m:r>
            <m:t>30</m:t>
          </m:r>
          <m:r>
            <m:rPr>
              <m:sty m:val="p"/>
            </m:rPr>
            <m:t>+</m:t>
          </m:r>
          <m:sSub>
            <m:e>
              <m:r>
                <m:t>Z</m:t>
              </m:r>
            </m:e>
            <m:sub>
              <m:r>
                <m:t>1</m:t>
              </m:r>
              <m:r>
                <m:rPr>
                  <m:sty m:val="p"/>
                </m:rPr>
                <m:t>−</m:t>
              </m:r>
              <m:r>
                <m:t>α</m:t>
              </m:r>
            </m:sub>
          </m:sSub>
          <m:f>
            <m:fPr>
              <m:type m:val="bar"/>
            </m:fPr>
            <m:num>
              <m:r>
                <m:t>σ</m:t>
              </m:r>
            </m:num>
            <m:den>
              <m:rad>
                <m:radPr>
                  <m:degHide m:val="1"/>
                </m:radPr>
                <m:deg/>
                <m:e>
                  <m:r>
                    <m:t>n</m:t>
                  </m:r>
                </m:e>
              </m:rad>
            </m:den>
          </m:f>
        </m:oMath>
      </m:oMathPara>
    </w:p>
    <w:p>
      <w:pPr>
        <w:pStyle w:val="FirstParagraph"/>
      </w:pPr>
      <w:r>
        <w:t xml:space="preserve">$$Under\space H_0: \bar X \sim N(\mu_0, \sigma^2 / n)$$</w:t>
      </w:r>
    </w:p>
    <w:p>
      <w:pPr>
        <w:pStyle w:val="FirstParagraph"/>
      </w:pPr>
      <w:r>
        <w:t xml:space="preserve">$$Under\space H_a: \bar X \sim N(\mu_a, \sigma^2 / n)$$</w:t>
      </w:r>
    </w:p>
    <w:p>
      <w:pPr>
        <w:pStyle w:val="FirstParagraph"/>
      </w:pPr>
      <w:r>
        <w:t xml:space="preserve">We can easily calculate the power using the R programming language. By taking the</w:t>
      </w:r>
      <w:r>
        <w:t xml:space="preserve"> </w:t>
      </w:r>
      <w:r>
        <w:rPr>
          <w:rStyle w:val="VerbatimChar"/>
        </w:rPr>
        <w:t xml:space="preserve">pnorm</w:t>
      </w:r>
      <w:r>
        <w:t xml:space="preserve"> </w:t>
      </w:r>
      <w:r>
        <w:t xml:space="preserve">(normal probability)</w:t>
      </w:r>
    </w:p>
    <w:p>
      <w:pPr>
        <w:pStyle w:val="SourceCode"/>
      </w:pPr>
      <w:r>
        <w:rPr>
          <w:rStyle w:val="NormalTok"/>
        </w:rPr>
        <w:t xml:space="preserve">alpha </w:t>
      </w:r>
      <w:r>
        <w:rPr>
          <w:rStyle w:val="OtherTok"/>
        </w:rPr>
        <w:t xml:space="preserve">=</w:t>
      </w:r>
      <w:r>
        <w:rPr>
          <w:rStyle w:val="NormalTok"/>
        </w:rPr>
        <w:t xml:space="preserve"> </w:t>
      </w:r>
      <w:r>
        <w:rPr>
          <w:rStyle w:val="FloatTok"/>
        </w:rPr>
        <w:t xml:space="preserve">0.05</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Suppose someone wants to conduct a study to test whether the mean (</w:t>
      </w:r>
      <m:oMath>
        <m:r>
          <m:t>μ</m:t>
        </m:r>
      </m:oMath>
      <w:r>
        <w:t xml:space="preserve">) for a specific population is 30 or greater. They are interested in detecting a difference as large as 32, with a sample size of 16, and a known standard deviation of 4.</w:t>
      </w:r>
    </w:p>
    <w:p>
      <w:pPr>
        <w:pStyle w:val="BodyText"/>
      </w:pPr>
      <w:r>
        <w:t xml:space="preserve">We can plug in these values and calculate the power. When we set</w:t>
      </w:r>
      <w:r>
        <w:t xml:space="preserve"> </w:t>
      </w:r>
      <m:oMath>
        <m:r>
          <m:t>μ</m:t>
        </m:r>
        <m:r>
          <m:rPr>
            <m:sty m:val="p"/>
          </m:rPr>
          <m:t>=</m:t>
        </m:r>
        <m:sSub>
          <m:e>
            <m:r>
              <m:t>μ</m:t>
            </m:r>
          </m:e>
          <m:sub>
            <m:r>
              <m:t>0</m:t>
            </m:r>
          </m:sub>
        </m:sSub>
        <m:r>
          <m:rPr>
            <m:sty m:val="p"/>
          </m:rPr>
          <m:t>=</m:t>
        </m:r>
        <m:r>
          <m:t>30</m:t>
        </m:r>
      </m:oMath>
      <w:r>
        <w:t xml:space="preserve">, the power is 5%. However, when we set</w:t>
      </w:r>
      <w:r>
        <w:t xml:space="preserve"> </w:t>
      </w:r>
      <m:oMath>
        <m:r>
          <m:t>μ</m:t>
        </m:r>
        <m:r>
          <m:rPr>
            <m:sty m:val="p"/>
          </m:rPr>
          <m:t>=</m:t>
        </m:r>
        <m:sSub>
          <m:e>
            <m:r>
              <m:t>μ</m:t>
            </m:r>
          </m:e>
          <m:sub>
            <m:r>
              <m:t>a</m:t>
            </m:r>
          </m:sub>
        </m:sSub>
        <m:r>
          <m:rPr>
            <m:sty m:val="p"/>
          </m:rPr>
          <m:t>=</m:t>
        </m:r>
        <m:r>
          <m:t>32</m:t>
        </m:r>
      </m:oMath>
      <w:r>
        <w:t xml:space="preserve">, the power increases to 64%.</w:t>
      </w:r>
    </w:p>
    <w:p>
      <w:pPr>
        <w:pStyle w:val="SourceCode"/>
      </w:pPr>
      <w:r>
        <w:rPr>
          <w:rStyle w:val="NormalTok"/>
        </w:rPr>
        <w:t xml:space="preserve">mu0 </w:t>
      </w:r>
      <w:r>
        <w:rPr>
          <w:rStyle w:val="OtherTok"/>
        </w:rPr>
        <w:t xml:space="preserve">=</w:t>
      </w:r>
      <w:r>
        <w:rPr>
          <w:rStyle w:val="NormalTok"/>
        </w:rPr>
        <w:t xml:space="preserve"> </w:t>
      </w:r>
      <w:r>
        <w:rPr>
          <w:rStyle w:val="DecValTok"/>
        </w:rPr>
        <w:t xml:space="preserve">30</w:t>
      </w:r>
      <w:r>
        <w:rPr>
          <w:rStyle w:val="NormalTok"/>
        </w:rPr>
        <w:t xml:space="preserve">; mua </w:t>
      </w:r>
      <w:r>
        <w:rPr>
          <w:rStyle w:val="OtherTok"/>
        </w:rPr>
        <w:t xml:space="preserve">=</w:t>
      </w:r>
      <w:r>
        <w:rPr>
          <w:rStyle w:val="NormalTok"/>
        </w:rPr>
        <w:t xml:space="preserve"> </w:t>
      </w:r>
      <w:r>
        <w:rPr>
          <w:rStyle w:val="DecValTok"/>
        </w:rPr>
        <w:t xml:space="preserve">32</w:t>
      </w:r>
      <w:r>
        <w:rPr>
          <w:rStyle w:val="NormalTok"/>
        </w:rPr>
        <w:t xml:space="preserve">; sigma </w:t>
      </w:r>
      <w:r>
        <w:rPr>
          <w:rStyle w:val="OtherTok"/>
        </w:rPr>
        <w:t xml:space="preserve">=</w:t>
      </w:r>
      <w:r>
        <w:rPr>
          <w:rStyle w:val="NormalTok"/>
        </w:rPr>
        <w:t xml:space="preserve"> </w:t>
      </w:r>
      <w:r>
        <w:rPr>
          <w:rStyle w:val="DecValTok"/>
        </w:rPr>
        <w:t xml:space="preserve">4</w:t>
      </w:r>
      <w:r>
        <w:rPr>
          <w:rStyle w:val="NormalTok"/>
        </w:rPr>
        <w:t xml:space="preserve">; n </w:t>
      </w:r>
      <w:r>
        <w:rPr>
          <w:rStyle w:val="OtherTok"/>
        </w:rPr>
        <w:t xml:space="preserve">=</w:t>
      </w:r>
      <w:r>
        <w:rPr>
          <w:rStyle w:val="NormalTok"/>
        </w:rPr>
        <w:t xml:space="preserve"> </w:t>
      </w:r>
      <w:r>
        <w:rPr>
          <w:rStyle w:val="DecValTok"/>
        </w:rPr>
        <w:t xml:space="preserve">16</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This means there is a 64% probability of detecting a mean as large as 32 or larger if we conduct the experiment. By plotting the power curves, which represent the power as a function of</w:t>
      </w:r>
      <w:r>
        <w:t xml:space="preserve"> </w:t>
      </w:r>
      <m:oMath>
        <m:sSub>
          <m:e>
            <m:r>
              <m:t>μ</m:t>
            </m:r>
          </m:e>
          <m:sub>
            <m:r>
              <m:t>a</m:t>
            </m:r>
          </m:sub>
        </m:sSub>
      </m:oMath>
      <w:r>
        <w:t xml:space="preserve">, with different sample sizes shown in different colors, we can observe interesting patterns.</w:t>
      </w:r>
    </w:p>
    <w:p>
      <w:pPr>
        <w:pStyle w:val="CaptionedFigure"/>
      </w:pPr>
      <w:r>
        <w:drawing>
          <wp:inline>
            <wp:extent cx="5334000" cy="3000375"/>
            <wp:effectExtent b="0" l="0" r="0" t="0"/>
            <wp:docPr descr="Figure 1.3: Plotting the power curve" title="" id="1" name="Picture"/>
            <a:graphic>
              <a:graphicData uri="http://schemas.openxmlformats.org/drawingml/2006/picture">
                <pic:pic>
                  <pic:nvPicPr>
                    <pic:cNvPr descr="resources/images/week_04_files/figure-docx//1U1PiqeXG4XoKmg8hRFJqE1OFDOJfificBz1jLeDunHo_g257d7b8e795_0_169.png" id="0" name="Picture"/>
                    <pic:cNvPicPr>
                      <a:picLocks noChangeArrowheads="1" noChangeAspect="1"/>
                    </pic:cNvPicPr>
                  </pic:nvPicPr>
                  <pic:blipFill>
                    <a:blip r:embed="rId13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0" w:name="fig32"/>
      <w:r>
        <w:t xml:space="preserve">Figure </w:t>
      </w:r>
      <w:fldSimple w:instr="SEQ Figure \* ARABIC ">
        <w:r>
          <w:t>32</w:t>
        </w:r>
      </w:fldSimple>
      <w:r>
        <w:t xml:space="preserve">:</w:t>
      </w:r>
      <w:r>
        <w:t xml:space="preserve"> </w:t>
      </w:r>
      <w:bookmarkEnd w:id="140"/>
      <w:r>
        <w:t xml:space="preserve">Figure 1.3: Plotting the power curve</w:t>
      </w:r>
    </w:p>
    <w:p>
      <w:pPr>
        <w:pStyle w:val="SourceCode"/>
      </w:pPr>
      <w:r>
        <w:rPr>
          <w:rStyle w:val="FunctionTok"/>
        </w:rPr>
        <w:t xml:space="preserve">library</w:t>
      </w:r>
      <w:r>
        <w:rPr>
          <w:rStyle w:val="NormalTok"/>
        </w:rPr>
        <w:t xml:space="preserve">(ggplot2)</w:t>
      </w:r>
      <w:r>
        <w:br/>
      </w:r>
      <w:r>
        <w:rPr>
          <w:rStyle w:val="NormalTok"/>
        </w:rPr>
        <w:t xml:space="preserve">nseq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w:t>
      </w:r>
      <w:r>
        <w:br/>
      </w:r>
      <w:r>
        <w:rPr>
          <w:rStyle w:val="NormalTok"/>
        </w:rPr>
        <w:t xml:space="preserve">mua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w:t>
      </w:r>
      <w:r>
        <w:br/>
      </w:r>
      <w:r>
        <w:rPr>
          <w:rStyle w:val="NormalTok"/>
        </w:rPr>
        <w:t xml:space="preserve">power </w:t>
      </w:r>
      <w:r>
        <w:rPr>
          <w:rStyle w:val="OtherTok"/>
        </w:rPr>
        <w:t xml:space="preserve">=</w:t>
      </w:r>
      <w:r>
        <w:rPr>
          <w:rStyle w:val="NormalTok"/>
        </w:rPr>
        <w:t xml:space="preserve"> </w:t>
      </w:r>
      <w:r>
        <w:rPr>
          <w:rStyle w:val="FunctionTok"/>
        </w:rPr>
        <w:t xml:space="preserve">sapply</w:t>
      </w:r>
      <w:r>
        <w:rPr>
          <w:rStyle w:val="NormalTok"/>
        </w:rPr>
        <w:t xml:space="preserve">(nseq, </w:t>
      </w:r>
      <w:r>
        <w:rPr>
          <w:rStyle w:val="ControlFlowTok"/>
        </w:rPr>
        <w:t xml:space="preserve">function</w:t>
      </w:r>
      <w:r>
        <w:rPr>
          <w:rStyle w:val="NormalTok"/>
        </w:rPr>
        <w:t xml:space="preserve">(n)</w:t>
      </w:r>
      <w:r>
        <w:br/>
      </w:r>
      <w:r>
        <w:rPr>
          <w:rStyle w:val="NormalTok"/>
        </w:rPr>
        <w:t xml:space="preserve">    </w:t>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FunctionTok"/>
        </w:rPr>
        <w:t xml:space="preserve">colnames</w:t>
      </w:r>
      <w:r>
        <w:rPr>
          <w:rStyle w:val="NormalTok"/>
        </w:rPr>
        <w:t xml:space="preserve">(power)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"n"</w:t>
      </w:r>
      <w:r>
        <w:rPr>
          <w:rStyle w:val="NormalTok"/>
        </w:rPr>
        <w:t xml:space="preserve">, nseq,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d </w:t>
      </w:r>
      <w:r>
        <w:rPr>
          <w:rStyle w:val="OtherTok"/>
        </w:rPr>
        <w:t xml:space="preserve">&lt;-</w:t>
      </w:r>
      <w:r>
        <w:rPr>
          <w:rStyle w:val="NormalTok"/>
        </w:rPr>
        <w:t xml:space="preserve"> </w:t>
      </w:r>
      <w:r>
        <w:rPr>
          <w:rStyle w:val="FunctionTok"/>
        </w:rPr>
        <w:t xml:space="preserve">data.frame</w:t>
      </w:r>
      <w:r>
        <w:rPr>
          <w:rStyle w:val="NormalTok"/>
        </w:rPr>
        <w:t xml:space="preserve">(mua, power)</w:t>
      </w:r>
      <w:r>
        <w:br/>
      </w:r>
      <w:r>
        <w:rPr>
          <w:rStyle w:val="FunctionTok"/>
        </w:rPr>
        <w:t xml:space="preserve">library</w:t>
      </w:r>
      <w:r>
        <w:rPr>
          <w:rStyle w:val="NormalTok"/>
        </w:rPr>
        <w:t xml:space="preserve">(reshape2)</w:t>
      </w:r>
      <w:r>
        <w:br/>
      </w:r>
      <w:r>
        <w:rPr>
          <w:rStyle w:val="NormalTok"/>
        </w:rPr>
        <w:t xml:space="preserve">d2 </w:t>
      </w:r>
      <w:r>
        <w:rPr>
          <w:rStyle w:val="OtherTok"/>
        </w:rPr>
        <w:t xml:space="preserve">&lt;-</w:t>
      </w:r>
      <w:r>
        <w:rPr>
          <w:rStyle w:val="NormalTok"/>
        </w:rPr>
        <w:t xml:space="preserve"> </w:t>
      </w:r>
      <w:r>
        <w:rPr>
          <w:rStyle w:val="FunctionTok"/>
        </w:rPr>
        <w:t xml:space="preserve">melt</w:t>
      </w:r>
      <w:r>
        <w:rPr>
          <w:rStyle w:val="NormalTok"/>
        </w:rPr>
        <w:t xml:space="preserve">(d, </w:t>
      </w:r>
      <w:r>
        <w:rPr>
          <w:rStyle w:val="AttributeTok"/>
        </w:rPr>
        <w:t xml:space="preserve">id.vars =</w:t>
      </w:r>
      <w:r>
        <w:rPr>
          <w:rStyle w:val="NormalTok"/>
        </w:rPr>
        <w:t xml:space="preserve"> </w:t>
      </w:r>
      <w:r>
        <w:rPr>
          <w:rStyle w:val="StringTok"/>
        </w:rPr>
        <w:t xml:space="preserve">"mua"</w:t>
      </w:r>
      <w:r>
        <w:rPr>
          <w:rStyle w:val="NormalTok"/>
        </w:rPr>
        <w:t xml:space="preserve">)</w:t>
      </w:r>
      <w:r>
        <w:br/>
      </w:r>
      <w:r>
        <w:rPr>
          <w:rStyle w:val="FunctionTok"/>
        </w:rPr>
        <w:t xml:space="preserve">names</w:t>
      </w:r>
      <w:r>
        <w:rPr>
          <w:rStyle w:val="NormalTok"/>
        </w:rPr>
        <w:t xml:space="preserve">(d2)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"mua"</w:t>
      </w:r>
      <w:r>
        <w:rPr>
          <w:rStyle w:val="NormalTok"/>
        </w:rPr>
        <w:t xml:space="preserve">, </w:t>
      </w:r>
      <w:r>
        <w:rPr>
          <w:rStyle w:val="StringTok"/>
        </w:rPr>
        <w:t xml:space="preserve">"n"</w:t>
      </w:r>
      <w:r>
        <w:rPr>
          <w:rStyle w:val="NormalTok"/>
        </w:rPr>
        <w:t xml:space="preserve">, </w:t>
      </w:r>
      <w:r>
        <w:rPr>
          <w:rStyle w:val="StringTok"/>
        </w:rPr>
        <w:t xml:space="preserve">"power"</w:t>
      </w:r>
      <w:r>
        <w:rPr>
          <w:rStyle w:val="NormalTok"/>
        </w:rPr>
        <w:t xml:space="preserve">)    </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mua, </w:t>
      </w:r>
      <w:r>
        <w:rPr>
          <w:rStyle w:val="AttributeTok"/>
        </w:rPr>
        <w:t xml:space="preserve">y =</w:t>
      </w:r>
      <w:r>
        <w:rPr>
          <w:rStyle w:val="NormalTok"/>
        </w:rPr>
        <w:t xml:space="preserve"> power, </w:t>
      </w:r>
      <w:r>
        <w:rPr>
          <w:rStyle w:val="AttributeTok"/>
        </w:rPr>
        <w:t xml:space="preserve">col =</w:t>
      </w:r>
      <w:r>
        <w:rPr>
          <w:rStyle w:val="NormalTok"/>
        </w:rPr>
        <w:t xml:space="preserve"> n))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p>
    <w:p>
      <w:pPr>
        <w:pStyle w:val="FirstParagraph"/>
      </w:pPr>
      <w:r>
        <w:t xml:space="preserve">As</w:t>
      </w:r>
      <w:r>
        <w:t xml:space="preserve"> </w:t>
      </w:r>
      <m:oMath>
        <m:sSub>
          <m:e>
            <m:r>
              <m:t>μ</m:t>
            </m:r>
          </m:e>
          <m:sub>
            <m:r>
              <m:t>a</m:t>
            </m:r>
          </m:sub>
        </m:sSub>
      </m:oMath>
      <w:r>
        <w:t xml:space="preserve"> </w:t>
      </w:r>
      <w:r>
        <w:t xml:space="preserve">gets larger, the power increases, which indicates a higher likelihood of detecting a larger difference. Additionally, as the sample size increases, the curves shift upwards and reach higher power levels earlier. This aligns with our expectation that collecting more data increases the likelihood of detecting a specific effect. We can use RStudio’s manipulate function to explore power in relation to the two normal distributions. We can visually evaluate the power and observe how it changes with different values.</w:t>
      </w:r>
    </w:p>
    <w:p>
      <w:pPr>
        <w:pStyle w:val="CaptionedFigure"/>
      </w:pPr>
      <w:r>
        <w:drawing>
          <wp:inline>
            <wp:extent cx="5334000" cy="3000375"/>
            <wp:effectExtent b="0" l="0" r="0" t="0"/>
            <wp:docPr descr="Figure 1.5: Plotting the power curve" title="" id="1" name="Picture"/>
            <a:graphic>
              <a:graphicData uri="http://schemas.openxmlformats.org/drawingml/2006/picture">
                <pic:pic>
                  <pic:nvPicPr>
                    <pic:cNvPr descr="resources/images/week_04_files/figure-docx//1U1PiqeXG4XoKmg8hRFJqE1OFDOJfificBz1jLeDunHo_g257d7b8e795_0_172.png" id="0" name="Picture"/>
                    <pic:cNvPicPr>
                      <a:picLocks noChangeArrowheads="1" noChangeAspect="1"/>
                    </pic:cNvPicPr>
                  </pic:nvPicPr>
                  <pic:blipFill>
                    <a:blip r:embed="rId14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2" w:name="fig33"/>
      <w:r>
        <w:t xml:space="preserve">Figure </w:t>
      </w:r>
      <w:fldSimple w:instr="SEQ Figure \* ARABIC ">
        <w:r>
          <w:t>33</w:t>
        </w:r>
      </w:fldSimple>
      <w:r>
        <w:t xml:space="preserve">:</w:t>
      </w:r>
      <w:r>
        <w:t xml:space="preserve"> </w:t>
      </w:r>
      <w:bookmarkEnd w:id="142"/>
      <w:r>
        <w:t xml:space="preserve">Figure 1.5: Plotting the power curve</w:t>
      </w:r>
    </w:p>
    <w:p>
      <w:pPr>
        <w:pStyle w:val="SourceCode"/>
      </w:pPr>
      <w:r>
        <w:rPr>
          <w:rStyle w:val="FunctionTok"/>
        </w:rPr>
        <w:t xml:space="preserve">library</w:t>
      </w:r>
      <w:r>
        <w:rPr>
          <w:rStyle w:val="NormalTok"/>
        </w:rPr>
        <w:t xml:space="preserve">(manipulate)</w:t>
      </w:r>
      <w:r>
        <w:br/>
      </w:r>
      <w:r>
        <w:rPr>
          <w:rStyle w:val="NormalTok"/>
        </w:rPr>
        <w:t xml:space="preserve">mu0 </w:t>
      </w:r>
      <w:r>
        <w:rPr>
          <w:rStyle w:val="OtherTok"/>
        </w:rPr>
        <w:t xml:space="preserve">=</w:t>
      </w:r>
      <w:r>
        <w:rPr>
          <w:rStyle w:val="NormalTok"/>
        </w:rPr>
        <w:t xml:space="preserve"> </w:t>
      </w:r>
      <w:r>
        <w:rPr>
          <w:rStyle w:val="DecValTok"/>
        </w:rPr>
        <w:t xml:space="preserve">30</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(sigma, mua, n, alpha){</w:t>
      </w:r>
      <w:r>
        <w:br/>
      </w:r>
      <w:r>
        <w:rPr>
          <w:rStyle w:val="NormalTok"/>
        </w:rPr>
        <w:t xml:space="preserve">    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36</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xitc </w:t>
      </w:r>
      <w:r>
        <w:rPr>
          <w:rStyle w:val="OtherTok"/>
        </w:rPr>
        <w:t xml:space="preserve">=</w:t>
      </w:r>
      <w:r>
        <w:rPr>
          <w:rStyle w:val="NormalTok"/>
        </w:rPr>
        <w:t xml:space="preserve"> mu0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NormalTok"/>
        </w:rPr>
        <w:t xml:space="preserve">xitc,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myplot</w:t>
      </w:r>
      <w:r>
        <w:rPr>
          <w:rStyle w:val="NormalTok"/>
        </w:rPr>
        <w:t xml:space="preserve">(sigma, mua, n, alpha),</w:t>
      </w:r>
      <w:r>
        <w:br/>
      </w:r>
      <w:r>
        <w:rPr>
          <w:rStyle w:val="NormalTok"/>
        </w:rPr>
        <w:t xml:space="preserve">    </w:t>
      </w:r>
      <w:r>
        <w:rPr>
          <w:rStyle w:val="AttributeTok"/>
        </w:rPr>
        <w:t xml:space="preserve">sigma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mua =</w:t>
      </w:r>
      <w:r>
        <w:rPr>
          <w:rStyle w:val="NormalTok"/>
        </w:rPr>
        <w:t xml:space="preserve"> </w:t>
      </w:r>
      <w:r>
        <w:rPr>
          <w:rStyle w:val="FunctionTok"/>
        </w:rPr>
        <w:t xml:space="preserve">slider</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slider</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step =</w:t>
      </w:r>
      <w:r>
        <w:rPr>
          <w:rStyle w:val="NormalTok"/>
        </w:rPr>
        <w:t xml:space="preserve"> </w:t>
      </w:r>
      <w:r>
        <w:rPr>
          <w:rStyle w:val="FloatTok"/>
        </w:rPr>
        <w:t xml:space="preserve">0.01</w:t>
      </w:r>
      <w:r>
        <w:rPr>
          <w:rStyle w:val="NormalTok"/>
        </w:rPr>
        <w:t xml:space="preserve">, </w:t>
      </w:r>
      <w:r>
        <w:rPr>
          <w:rStyle w:val="AttributeTok"/>
        </w:rPr>
        <w:t xml:space="preserve">initial =</w:t>
      </w:r>
      <w:r>
        <w:rPr>
          <w:rStyle w:val="NormalTok"/>
        </w:rPr>
        <w:t xml:space="preserve"> </w:t>
      </w:r>
      <w:r>
        <w:rPr>
          <w:rStyle w:val="FloatTok"/>
        </w:rPr>
        <w:t xml:space="preserve">0.05</w:t>
      </w:r>
      <w:r>
        <w:rPr>
          <w:rStyle w:val="NormalTok"/>
        </w:rPr>
        <w:t xml:space="preserve">)</w:t>
      </w:r>
      <w:r>
        <w:br/>
      </w:r>
      <w:r>
        <w:rPr>
          <w:rStyle w:val="NormalTok"/>
        </w:rPr>
        <w:t xml:space="preserve">    )</w:t>
      </w:r>
    </w:p>
    <w:p>
      <w:pPr>
        <w:pStyle w:val="FirstParagraph"/>
      </w:pPr>
      <w:r>
        <w:t xml:space="preserve">In this graph the parameters are currently set to the values used in the previous calculations:</w:t>
      </w:r>
      <w:r>
        <w:t xml:space="preserve"> </w:t>
      </w:r>
      <m:oMath>
        <m:r>
          <m:t>σ</m:t>
        </m:r>
        <m:r>
          <m:rPr>
            <m:sty m:val="p"/>
          </m:rPr>
          <m:t>=</m:t>
        </m:r>
        <m:r>
          <m:t>4</m:t>
        </m:r>
      </m:oMath>
      <w:r>
        <w:t xml:space="preserve">,</w:t>
      </w:r>
      <w:r>
        <w:t xml:space="preserve"> </w:t>
      </w:r>
      <m:oMath>
        <m:sSub>
          <m:e>
            <m:r>
              <m:t>μ</m:t>
            </m:r>
          </m:e>
          <m:sub>
            <m:r>
              <m:t>a</m:t>
            </m:r>
          </m:sub>
        </m:sSub>
        <m:r>
          <m:rPr>
            <m:sty m:val="p"/>
          </m:rPr>
          <m:t>=</m:t>
        </m:r>
        <m:r>
          <m:t>32</m:t>
        </m:r>
      </m:oMath>
      <w:r>
        <w:t xml:space="preserve">,</w:t>
      </w:r>
      <w:r>
        <w:t xml:space="preserve"> </w:t>
      </w:r>
      <m:oMath>
        <m:r>
          <m:t>n</m:t>
        </m:r>
        <m:r>
          <m:rPr>
            <m:sty m:val="p"/>
          </m:rPr>
          <m:t>=</m:t>
        </m:r>
        <m:r>
          <m:t>16</m:t>
        </m:r>
      </m:oMath>
      <w:r>
        <w:t xml:space="preserve">, and</w:t>
      </w:r>
      <w:r>
        <w:t xml:space="preserve"> </w:t>
      </w:r>
      <m:oMath>
        <m:r>
          <m:t>α</m:t>
        </m:r>
        <m:r>
          <m:rPr>
            <m:sty m:val="p"/>
          </m:rPr>
          <m:t>=</m:t>
        </m:r>
        <m:r>
          <m:t>5</m:t>
        </m:r>
      </m:oMath>
      <w:r>
        <w:t xml:space="preserve">. The first plot illustrates the distribution of the sample mean under the null hypothesis. It is centered at 30 with a variance of</w:t>
      </w:r>
      <w:r>
        <w:t xml:space="preserve"> </w:t>
      </w:r>
      <m:oMath>
        <m:sSup>
          <m:e>
            <m:r>
              <m:t>σ</m:t>
            </m:r>
          </m:e>
          <m:sup>
            <m:r>
              <m:t>2</m:t>
            </m:r>
          </m:sup>
        </m:sSup>
        <m:r>
          <m:rPr>
            <m:sty m:val="p"/>
          </m:rPr>
          <m:t>/</m:t>
        </m:r>
        <m:r>
          <m:t>n</m:t>
        </m:r>
      </m:oMath>
      <w:r>
        <w:t xml:space="preserve">. The second plot represents the alternative hypothesis, where the sample mean is centered at 32 with the same variance. We have set a critical value (shown as a black line) such that if the sample mean exceeds this threshold, we reject the null hypothesis. The black line is calibrated so that the probability of obtaining statistics larger than it is 5% if the red density is true (i.e., the null hypothesis is true). Power refers to the probability of obtaining a sample mean greater than the black line, assuming the blue curve (alternative hypothesis) is true. In other words, power represents the probability of rejecting the null hypothesis correctly. Conversely,</w:t>
      </w:r>
      <w:r>
        <w:t xml:space="preserve"> </w:t>
      </w:r>
      <m:oMath>
        <m:r>
          <m:t>1</m:t>
        </m:r>
        <m:r>
          <m:rPr>
            <m:sty m:val="p"/>
          </m:rPr>
          <m:t>−</m:t>
        </m:r>
        <m:r>
          <m:t>p</m:t>
        </m:r>
        <m:r>
          <m:t>o</m:t>
        </m:r>
        <m:r>
          <m:t>w</m:t>
        </m:r>
        <m:r>
          <m:t>e</m:t>
        </m:r>
        <m:r>
          <m:t>r</m:t>
        </m:r>
      </m:oMath>
      <w:r>
        <w:t xml:space="preserve"> </w:t>
      </w:r>
      <w:r>
        <w:t xml:space="preserve">corresponds to the type II error rate.</w:t>
      </w:r>
    </w:p>
    <w:p>
      <w:pPr>
        <w:pStyle w:val="BodyText"/>
      </w:pPr>
      <w:r>
        <w:t xml:space="preserve">If we decrease the significance level (</w:t>
      </w:r>
      <m:oMath>
        <m:r>
          <m:t>α</m:t>
        </m:r>
      </m:oMath>
      <w:r>
        <w:t xml:space="preserve">), the black line moves to the right, making it harder to reject the null hypothesis and resulting in lower power. On the other hand, increasing</w:t>
      </w:r>
      <w:r>
        <w:t xml:space="preserve"> </w:t>
      </w:r>
      <m:oMath>
        <m:r>
          <m:t>α</m:t>
        </m:r>
      </m:oMath>
      <w:r>
        <w:t xml:space="preserve"> </w:t>
      </w:r>
      <w:r>
        <w:t xml:space="preserve">leads to better power but also increases the type I error rate. When we decrease</w:t>
      </w:r>
      <w:r>
        <w:t xml:space="preserve"> </w:t>
      </w:r>
      <m:oMath>
        <m:r>
          <m:t>σ</m:t>
        </m:r>
      </m:oMath>
      <w:r>
        <w:t xml:space="preserve"> </w:t>
      </w:r>
      <w:r>
        <w:t xml:space="preserve">(the standard deviation), the black line moves downward. With less variability in the sample mean, the probability of rejecting the null hypothesis (power) approaches 100%. Conversely, increasing</w:t>
      </w:r>
      <w:r>
        <w:t xml:space="preserve"> </w:t>
      </w:r>
      <m:oMath>
        <m:r>
          <m:t>σ</m:t>
        </m:r>
      </m:oMath>
      <w:r>
        <w:t xml:space="preserve"> </w:t>
      </w:r>
      <w:r>
        <w:t xml:space="preserve">decreases power because there is more noise in the measurements. Adjusting the mean under the alternative hypothesis (</w:t>
      </w:r>
      <m:oMath>
        <m:sSub>
          <m:e>
            <m:r>
              <m:t>μ</m:t>
            </m:r>
          </m:e>
          <m:sub>
            <m:r>
              <m:t>a</m:t>
            </m:r>
          </m:sub>
        </m:sSub>
      </m:oMath>
      <w:r>
        <w:t xml:space="preserve">) shifts the black line accordingly. As</w:t>
      </w:r>
      <w:r>
        <w:t xml:space="preserve"> </w:t>
      </w:r>
      <m:oMath>
        <m:sSub>
          <m:e>
            <m:r>
              <m:t>μ</m:t>
            </m:r>
          </m:e>
          <m:sub>
            <m:r>
              <m:t>a</m:t>
            </m:r>
          </m:sub>
        </m:sSub>
      </m:oMath>
      <w:r>
        <w:t xml:space="preserve"> </w:t>
      </w:r>
      <w:r>
        <w:t xml:space="preserve">moves closer to 30, power decreases, and as it moves further away, power increases. Manipulating the sample size (n) affects the variance of the sample mean. A larger sample size tightens the densities, resulting in better power. Conversely, a smaller sample size leads to lower power. It is recommended to review the code for the manipulate function to gain a better understanding of power in this context. By experimenting with the various parameters, you can observe how power changes in different ways.</w:t>
      </w:r>
    </w:p>
    <w:p>
      <w:pPr>
        <w:pStyle w:val="BodyText"/>
      </w:pPr>
      <w:r>
        <w:t xml:space="preserve">To recap the scenario when testing the alternative hypothesis, specifically focusing on the case where</w:t>
      </w:r>
      <w:r>
        <w:t xml:space="preserve"> </w:t>
      </w:r>
      <m:oMath>
        <m:r>
          <m:t>μ</m:t>
        </m:r>
      </m:oMath>
      <w:r>
        <w:t xml:space="preserve"> </w:t>
      </w:r>
      <w:r>
        <w:t xml:space="preserve">is greater than</w:t>
      </w:r>
      <w:r>
        <w:t xml:space="preserve"> </w:t>
      </w:r>
      <m:oMath>
        <m:sSub>
          <m:e>
            <m:r>
              <m:t>μ</m:t>
            </m:r>
          </m:e>
          <m:sub>
            <m:r>
              <m:t>0</m:t>
            </m:r>
          </m:sub>
        </m:sSub>
      </m:oMath>
      <w:r>
        <w:t xml:space="preserve"> </w:t>
      </w:r>
      <w:r>
        <w:t xml:space="preserve">the power is in terms of</w:t>
      </w:r>
      <w:r>
        <w:t xml:space="preserve"> </w:t>
      </w:r>
      <m:oMath>
        <m:r>
          <m:t>1</m:t>
        </m:r>
        <m:r>
          <m:rPr>
            <m:sty m:val="p"/>
          </m:rPr>
          <m:t>−</m:t>
        </m:r>
        <m:r>
          <m:t>β</m:t>
        </m:r>
      </m:oMath>
      <w:r>
        <w:t xml:space="preserve"> </w:t>
      </w:r>
      <w:r>
        <w:t xml:space="preserve">(where</w:t>
      </w:r>
      <w:r>
        <w:t xml:space="preserve"> </w:t>
      </w:r>
      <m:oMath>
        <m:r>
          <m:t>β</m:t>
        </m:r>
      </m:oMath>
      <w:r>
        <w:t xml:space="preserve"> </w:t>
      </w:r>
      <w:r>
        <w:t xml:space="preserve">represents the type II error rate), we can use the equation:</w:t>
      </w:r>
    </w:p>
    <w:p>
      <w:pPr>
        <w:pStyle w:val="BodyText"/>
      </w:pPr>
      <m:oMathPara>
        <m:oMathParaPr>
          <m:jc m:val="center"/>
        </m:oMathParaPr>
        <m:oMath>
          <m:r>
            <m:t>1</m:t>
          </m:r>
          <m:r>
            <m:rPr>
              <m:sty m:val="p"/>
            </m:rPr>
            <m:t>−</m:t>
          </m:r>
          <m:r>
            <m:t>β</m:t>
          </m:r>
          <m:r>
            <m:rPr>
              <m:sty m:val="p"/>
            </m:rPr>
            <m:t>=</m:t>
          </m:r>
          <m:r>
            <m:t>P</m:t>
          </m:r>
          <m:d>
            <m:dPr>
              <m:begChr m:val="("/>
              <m:endChr m:val=")"/>
              <m:sepChr m:val=""/>
              <m:grow/>
            </m:dPr>
            <m:e>
              <m:acc>
                <m:accPr>
                  <m:chr m:val="‾"/>
                </m:accPr>
                <m:e>
                  <m:r>
                    <m:t>X</m:t>
                  </m:r>
                </m:e>
              </m:acc>
              <m:r>
                <m:rPr>
                  <m:sty m:val="p"/>
                </m:rPr>
                <m:t>&gt;</m:t>
              </m:r>
              <m:sSub>
                <m:e>
                  <m:r>
                    <m:t>μ</m:t>
                  </m:r>
                </m:e>
                <m:sub>
                  <m:r>
                    <m:t>0</m:t>
                  </m:r>
                </m:sub>
              </m:sSub>
              <m:r>
                <m:rPr>
                  <m:sty m:val="p"/>
                </m:rPr>
                <m:t>+</m:t>
              </m:r>
              <m:sSub>
                <m:e>
                  <m:r>
                    <m:t>z</m:t>
                  </m:r>
                </m:e>
                <m:sub>
                  <m:r>
                    <m:t>1</m:t>
                  </m:r>
                  <m:r>
                    <m:rPr>
                      <m:sty m:val="p"/>
                    </m:rPr>
                    <m:t>−</m:t>
                  </m:r>
                  <m:r>
                    <m:t>α</m:t>
                  </m:r>
                </m:sub>
              </m:sSub>
              <m:f>
                <m:fPr>
                  <m:type m:val="bar"/>
                </m:fPr>
                <m:num>
                  <m:r>
                    <m:t>σ</m:t>
                  </m:r>
                </m:num>
                <m:den>
                  <m:rad>
                    <m:radPr>
                      <m:degHide m:val="1"/>
                    </m:radPr>
                    <m:deg/>
                    <m:e>
                      <m:r>
                        <m:t>n</m:t>
                      </m:r>
                    </m:e>
                  </m:rad>
                </m:den>
              </m:f>
              <m:r>
                <m:rPr>
                  <m:sty m:val="p"/>
                </m:rPr>
                <m:t>;</m:t>
              </m:r>
              <m:r>
                <m:t>μ</m:t>
              </m:r>
              <m:r>
                <m:rPr>
                  <m:sty m:val="p"/>
                </m:rPr>
                <m:t>=</m:t>
              </m:r>
              <m:sSub>
                <m:e>
                  <m:r>
                    <m:t>μ</m:t>
                  </m:r>
                </m:e>
                <m:sub>
                  <m:r>
                    <m:t>a</m:t>
                  </m:r>
                </m:sub>
              </m:sSub>
            </m:e>
          </m:d>
        </m:oMath>
      </m:oMathPara>
    </w:p>
    <w:p>
      <w:pPr>
        <w:pStyle w:val="FirstParagraph"/>
      </w:pPr>
      <w:r>
        <w:t xml:space="preserve">Here,</w:t>
      </w:r>
      <w:r>
        <w:t xml:space="preserve"> </w:t>
      </w:r>
      <m:oMath>
        <m:r>
          <m:t>P</m:t>
        </m:r>
      </m:oMath>
      <w:r>
        <w:t xml:space="preserve"> </w:t>
      </w:r>
      <w:r>
        <w:t xml:space="preserve">is the probability that the sample mean</w:t>
      </w:r>
      <w:r>
        <w:t xml:space="preserve"> </w:t>
      </w:r>
      <m:oMath>
        <m:acc>
          <m:accPr>
            <m:chr m:val="‾"/>
          </m:accPr>
          <m:e>
            <m:r>
              <m:t>X</m:t>
            </m:r>
          </m:e>
        </m:acc>
      </m:oMath>
      <w:r>
        <w:t xml:space="preserve"> </w:t>
      </w:r>
      <w:r>
        <w:t xml:space="preserve">is larger than</w:t>
      </w:r>
      <w:r>
        <w:t xml:space="preserve"> </w:t>
      </w:r>
      <m:oMath>
        <m:sSub>
          <m:e>
            <m:r>
              <m:t>μ</m:t>
            </m:r>
          </m:e>
          <m:sub>
            <m:r>
              <m:t>0</m:t>
            </m:r>
          </m:sub>
        </m:sSub>
      </m:oMath>
      <w:r>
        <w:t xml:space="preserve">, calculated under the assumption that</w:t>
      </w:r>
      <w:r>
        <w:t xml:space="preserve"> </w:t>
      </w:r>
      <m:oMath>
        <m:r>
          <m:t>μ</m:t>
        </m:r>
      </m:oMath>
      <w:r>
        <w:t xml:space="preserve"> </w:t>
      </w:r>
      <w:r>
        <w:t xml:space="preserve">equals</w:t>
      </w:r>
      <w:r>
        <w:t xml:space="preserve"> </w:t>
      </w:r>
      <m:oMath>
        <m:sSub>
          <m:e>
            <m:r>
              <m:t>μ</m:t>
            </m:r>
          </m:e>
          <m:sub>
            <m:r>
              <m:t>a</m:t>
            </m:r>
          </m:sub>
        </m:sSub>
      </m:oMath>
      <w:r>
        <w:t xml:space="preserve"> </w:t>
      </w:r>
      <w:r>
        <w:t xml:space="preserve">(the mean under the alternative hypothesis). It’s important to note that</w:t>
      </w:r>
      <w:r>
        <w:t xml:space="preserve"> </w:t>
      </w:r>
      <m:oMath>
        <m:acc>
          <m:accPr>
            <m:chr m:val="‾"/>
          </m:accPr>
          <m:e>
            <m:r>
              <m:t>X</m:t>
            </m:r>
          </m:e>
        </m:acc>
      </m:oMath>
      <w:r>
        <w:t xml:space="preserve"> </w:t>
      </w:r>
      <w:r>
        <w:t xml:space="preserve">follows a normal distribution with mean</w:t>
      </w:r>
      <w:r>
        <w:t xml:space="preserve"> </w:t>
      </w:r>
      <m:oMath>
        <m:sSub>
          <m:e>
            <m:r>
              <m:t>μ</m:t>
            </m:r>
          </m:e>
          <m:sub>
            <m:r>
              <m:t>a</m:t>
            </m:r>
          </m:sub>
        </m:sSub>
      </m:oMath>
      <w:r>
        <w:t xml:space="preserve"> </w:t>
      </w:r>
      <w:r>
        <w:t xml:space="preserve">and variance</w:t>
      </w:r>
      <w:r>
        <w:t xml:space="preserve"> </w:t>
      </w:r>
      <m:oMath>
        <m:sSup>
          <m:e>
            <m:r>
              <m:t>σ</m:t>
            </m:r>
          </m:e>
          <m:sup>
            <m:r>
              <m:t>2</m:t>
            </m:r>
          </m:sup>
        </m:sSup>
        <m:r>
          <m:rPr>
            <m:sty m:val="p"/>
          </m:rPr>
          <m:t>/</m:t>
        </m:r>
        <m:r>
          <m:t>n</m:t>
        </m:r>
      </m:oMath>
      <w:r>
        <w:t xml:space="preserve">. The key point to highlight is that in this equation,</w:t>
      </w:r>
      <w:r>
        <w:t xml:space="preserve"> </w:t>
      </w:r>
      <m:oMath>
        <m:sSub>
          <m:e>
            <m:r>
              <m:t>μ</m:t>
            </m:r>
          </m:e>
          <m:sub>
            <m:r>
              <m:t>a</m:t>
            </m:r>
          </m:sub>
        </m:sSub>
      </m:oMath>
      <w:r>
        <w:t xml:space="preserve">,</w:t>
      </w:r>
      <w:r>
        <w:t xml:space="preserve"> </w:t>
      </w:r>
      <m:oMath>
        <m:r>
          <m:t>σ</m:t>
        </m:r>
      </m:oMath>
      <w:r>
        <w:t xml:space="preserve">,</w:t>
      </w:r>
      <w:r>
        <w:t xml:space="preserve"> </w:t>
      </w:r>
      <m:oMath>
        <m:r>
          <m:t>n</m:t>
        </m:r>
      </m:oMath>
      <w:r>
        <w:t xml:space="preserve">, and</w:t>
      </w:r>
      <w:r>
        <w:t xml:space="preserve"> </w:t>
      </w:r>
      <m:oMath>
        <m:r>
          <m:t>β</m:t>
        </m:r>
      </m:oMath>
      <w:r>
        <w:t xml:space="preserve"> </w:t>
      </w:r>
      <w:r>
        <w:t xml:space="preserve">are the unknowns, while</w:t>
      </w:r>
      <w:r>
        <w:t xml:space="preserve"> </w:t>
      </w:r>
      <m:oMath>
        <m:sSub>
          <m:e>
            <m:r>
              <m:t>μ</m:t>
            </m:r>
          </m:e>
          <m:sub>
            <m:r>
              <m:t>0</m:t>
            </m:r>
          </m:sub>
        </m:sSub>
      </m:oMath>
      <w:r>
        <w:t xml:space="preserve"> </w:t>
      </w:r>
      <w:r>
        <w:t xml:space="preserve">and usually</w:t>
      </w:r>
      <w:r>
        <w:t xml:space="preserve"> </w:t>
      </w:r>
      <m:oMath>
        <m:r>
          <m:t>α</m:t>
        </m:r>
      </m:oMath>
      <w:r>
        <w:t xml:space="preserve"> </w:t>
      </w:r>
      <w:r>
        <w:t xml:space="preserve">(the specified type I error rate) are known. By specifying any three of the unknowns, you can solve for the fourth. For example, if you know the desired alternative mean (</w:t>
      </w:r>
      <m:oMath>
        <m:sSub>
          <m:e>
            <m:r>
              <m:t>μ</m:t>
            </m:r>
          </m:e>
          <m:sub>
            <m:r>
              <m:t>a</m:t>
            </m:r>
          </m:sub>
        </m:sSub>
      </m:oMath>
      <w:r>
        <w:t xml:space="preserve">), the assumed standard deviation (</w:t>
      </w:r>
      <m:oMath>
        <m:r>
          <m:t>σ</m:t>
        </m:r>
      </m:oMath>
      <w:r>
        <w:t xml:space="preserve">), and the desired sample size (n), you can solve for power. This approach is commonly used in power calculations during trial planning. Usually, the main concerns revolve around n (sample size) or</w:t>
      </w:r>
      <w:r>
        <w:t xml:space="preserve"> </w:t>
      </w:r>
      <m:oMath>
        <m:r>
          <m:t>β</m:t>
        </m:r>
      </m:oMath>
      <w:r>
        <w:t xml:space="preserve"> </w:t>
      </w:r>
      <w:r>
        <w:t xml:space="preserve">(desired power). You may want to determine the necessary sample size to achieve a specific power level, or given a fixed sample size, assess the resulting power. However, you can also solve for</w:t>
      </w:r>
      <w:r>
        <w:t xml:space="preserve"> </w:t>
      </w:r>
      <m:oMath>
        <m:sSub>
          <m:e>
            <m:r>
              <m:t>μ</m:t>
            </m:r>
          </m:e>
          <m:sub>
            <m:r>
              <m:t>a</m:t>
            </m:r>
          </m:sub>
        </m:sSub>
      </m:oMath>
      <w:r>
        <w:t xml:space="preserve"> </w:t>
      </w:r>
      <w:r>
        <w:t xml:space="preserve">or</w:t>
      </w:r>
      <w:r>
        <w:t xml:space="preserve"> </w:t>
      </w:r>
      <m:oMath>
        <m:r>
          <m:t>σ</m:t>
        </m:r>
      </m:oMath>
      <w:r>
        <w:t xml:space="preserve"> </w:t>
      </w:r>
      <w:r>
        <w:t xml:space="preserve">depending on your requirements.</w:t>
      </w:r>
    </w:p>
    <w:p>
      <w:pPr>
        <w:pStyle w:val="BodyText"/>
      </w:pPr>
      <w:r>
        <w:t xml:space="preserve">Here are some basic rules regarding power:</w:t>
      </w:r>
    </w:p>
    <w:p>
      <w:pPr>
        <w:numPr>
          <w:ilvl w:val="0"/>
          <w:numId w:val="1013"/>
        </w:numPr>
        <w:pStyle w:val="Compact"/>
      </w:pPr>
      <w:r>
        <w:t xml:space="preserve">As alpha (significance level) increases, power also increases. The power of a one-sided test is greater than the power of the corresponding two-sided test.</w:t>
      </w:r>
    </w:p>
    <w:p>
      <w:pPr>
        <w:numPr>
          <w:ilvl w:val="0"/>
          <w:numId w:val="1013"/>
        </w:numPr>
        <w:pStyle w:val="Compact"/>
      </w:pPr>
      <w:r>
        <w:t xml:space="preserve">The further</w:t>
      </w:r>
      <w:r>
        <w:t xml:space="preserve"> </w:t>
      </w:r>
      <m:oMath>
        <m:sSub>
          <m:e>
            <m:r>
              <m:t>μ</m:t>
            </m:r>
          </m:e>
          <m:sub>
            <m:r>
              <m:t>a</m:t>
            </m:r>
          </m:sub>
        </m:sSub>
      </m:oMath>
      <w:r>
        <w:t xml:space="preserve"> </w:t>
      </w:r>
      <w:r>
        <w:t xml:space="preserve">(mean under the alternative hypothesis) is from</w:t>
      </w:r>
      <w:r>
        <w:t xml:space="preserve"> </w:t>
      </w:r>
      <m:oMath>
        <m:sSub>
          <m:e>
            <m:r>
              <m:t>μ</m:t>
            </m:r>
          </m:e>
          <m:sub>
            <m:r>
              <m:t>0</m:t>
            </m:r>
          </m:sub>
        </m:sSub>
      </m:oMath>
      <w:r>
        <w:t xml:space="preserve">, the higher the power.</w:t>
      </w:r>
    </w:p>
    <w:p>
      <w:pPr>
        <w:numPr>
          <w:ilvl w:val="0"/>
          <w:numId w:val="1013"/>
        </w:numPr>
        <w:pStyle w:val="Compact"/>
      </w:pPr>
      <w:r>
        <w:t xml:space="preserve">As the sample size (n) increases, the sample mean has less variability, resulting in higher power.</w:t>
      </w:r>
    </w:p>
    <w:p>
      <w:pPr>
        <w:numPr>
          <w:ilvl w:val="0"/>
          <w:numId w:val="1013"/>
        </w:numPr>
        <w:pStyle w:val="Compact"/>
      </w:pPr>
      <w:r>
        <w:t xml:space="preserve">When the standard deviation (</w:t>
      </w:r>
      <m:oMath>
        <m:r>
          <m:t>σ</m:t>
        </m:r>
      </m:oMath>
      <w:r>
        <w:t xml:space="preserve">) decreases, the sample mean has less variability, leading to higher power.</w:t>
      </w:r>
    </w:p>
    <w:p>
      <w:pPr>
        <w:pStyle w:val="FirstParagraph"/>
      </w:pPr>
      <w:r>
        <w:t xml:space="preserve">An interesting fact about power is that it often depends on a function of these parameters rather than each parameter individually. In this case, the function is one-dimensional, so you only need to know one number to calculate power. That number is the effect size, which is the difference between the null and alternative means divided by the standard error. The effect size is unit-free, making it useful and interpretable across different problems.</w:t>
      </w:r>
      <w:r>
        <w:t xml:space="preserve"> </w:t>
      </w:r>
      <w:r>
        <w:t xml:space="preserve">### T test power</w:t>
      </w:r>
      <w:r>
        <w:t xml:space="preserve"> </w:t>
      </w:r>
      <w:r>
        <w:t xml:space="preserve">We do not actually calculate power in the exact manner described in the previous section. Those were meant to help understand the concepts, assuming we knew</w:t>
      </w:r>
      <w:r>
        <w:t xml:space="preserve"> </w:t>
      </w:r>
      <m:oMath>
        <m:r>
          <m:t>σ</m:t>
        </m:r>
      </m:oMath>
      <w:r>
        <w:t xml:space="preserve"> </w:t>
      </w:r>
      <w:r>
        <w:t xml:space="preserve">and the data followed a Gaussian distribution or could be approximated as such due to the central limit theorem. We often use the</w:t>
      </w:r>
      <w:r>
        <w:t xml:space="preserve"> </w:t>
      </w:r>
      <w:r>
        <w:rPr>
          <w:rStyle w:val="VerbatimChar"/>
        </w:rPr>
        <w:t xml:space="preserve">power.t.test</w:t>
      </w:r>
      <w:r>
        <w:t xml:space="preserve"> </w:t>
      </w:r>
      <w:r>
        <w:t xml:space="preserve">function in R to calculate power. We will provide some insights around t-test power before explaining how to use</w:t>
      </w:r>
      <w:r>
        <w:t xml:space="preserve"> </w:t>
      </w:r>
      <w:r>
        <w:rPr>
          <w:rStyle w:val="VerbatimChar"/>
        </w:rPr>
        <w:t xml:space="preserve">power.t.test</w:t>
      </w:r>
      <w:r>
        <w:t xml:space="preserve">.</w:t>
      </w:r>
    </w:p>
    <w:p>
      <w:pPr>
        <w:pStyle w:val="BodyText"/>
      </w:pPr>
      <w:r>
        <w:t xml:space="preserve">The argument for t-test power is similar to what we did for the normal distribution case. We reject the null hypothesis if our test statistic,</w:t>
      </w:r>
      <w:r>
        <w:t xml:space="preserve">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exceeds</w:t>
      </w:r>
      <w:r>
        <w:t xml:space="preserve"> </w:t>
      </w:r>
      <m:oMath>
        <m:sSub>
          <m:e>
            <m:r>
              <m:t>t</m:t>
            </m:r>
          </m:e>
          <m:sub>
            <m:r>
              <m:t>1</m:t>
            </m:r>
            <m:r>
              <m:rPr>
                <m:sty m:val="p"/>
              </m:rPr>
              <m:t>−</m:t>
            </m:r>
            <m:r>
              <m:t>α</m:t>
            </m:r>
            <m:r>
              <m:rPr>
                <m:sty m:val="p"/>
              </m:rPr>
              <m:t>,</m:t>
            </m:r>
            <m:r>
              <m:t>n</m:t>
            </m:r>
            <m:r>
              <m:rPr>
                <m:sty m:val="p"/>
              </m:rPr>
              <m:t>−</m:t>
            </m:r>
            <m:r>
              <m:t>1</m:t>
            </m:r>
          </m:sub>
        </m:sSub>
      </m:oMath>
      <w:r>
        <w:t xml:space="preserve"> </w:t>
      </w:r>
      <w:r>
        <w:t xml:space="preserve">a quantile instead of a z quantile since we are dealing with a t-test.</w:t>
      </w:r>
      <w:r>
        <w:t xml:space="preserve"> </w:t>
      </w:r>
      <w:r>
        <w:t xml:space="preserve">However, when calculating power, this is done under the assumption that</w:t>
      </w:r>
      <w:r>
        <w:t xml:space="preserve"> </w:t>
      </w:r>
      <m:oMath>
        <m:r>
          <m:t>μ</m:t>
        </m:r>
        <m:r>
          <m:rPr>
            <m:sty m:val="p"/>
          </m:rPr>
          <m:t>=</m:t>
        </m:r>
        <m:sSub>
          <m:e>
            <m:r>
              <m:t>μ</m:t>
            </m:r>
          </m:e>
          <m:sub>
            <m:r>
              <m:t>a</m:t>
            </m:r>
          </m:sub>
        </m:sSub>
      </m:oMath>
      <w:r>
        <w:t xml:space="preserve"> </w:t>
      </w:r>
      <w:r>
        <w:t xml:space="preserve">(the value under the alternative hypothesis), not</w:t>
      </w:r>
      <w:r>
        <w:t xml:space="preserve"> </w:t>
      </w:r>
      <m:oMath>
        <m:sSub>
          <m:e>
            <m:r>
              <m:t>μ</m:t>
            </m:r>
          </m:e>
          <m:sub>
            <m:r>
              <m:t>0</m:t>
            </m:r>
          </m:sub>
        </m:sSub>
      </m:oMath>
      <w:r>
        <w:t xml:space="preserve">. It is important to note that the statistic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does not follow a t-distribution if the true mean is not</w:t>
      </w:r>
      <w:r>
        <w:t xml:space="preserve"> </w:t>
      </w:r>
      <m:oMath>
        <m:sSub>
          <m:e>
            <m:r>
              <m:t>μ</m:t>
            </m:r>
          </m:e>
          <m:sub>
            <m:r>
              <m:t>0</m:t>
            </m:r>
          </m:sub>
        </m:sSub>
      </m:oMath>
      <w:r>
        <w:t xml:space="preserve">. Instead, it follows something called the non-central t-distribution, which we won’t cover here. Thus, evaluating the non-central t-distribution is necessary to calculate power.</w:t>
      </w:r>
    </w:p>
    <w:p>
      <w:pPr>
        <w:pStyle w:val="BodyText"/>
      </w:pPr>
      <w:r>
        <w:t xml:space="preserve">The</w:t>
      </w:r>
      <w:r>
        <w:t xml:space="preserve"> </w:t>
      </w:r>
      <w:r>
        <w:rPr>
          <w:rStyle w:val="VerbatimChar"/>
        </w:rPr>
        <w:t xml:space="preserve">power.t.test</w:t>
      </w:r>
      <w:r>
        <w:t xml:space="preserve"> </w:t>
      </w:r>
      <w:r>
        <w:t xml:space="preserve">function allows you to calculate power by evaluating the non-central t-distribution. Similar to before, you have some known parameters like</w:t>
      </w:r>
      <w:r>
        <w:t xml:space="preserve"> </w:t>
      </w:r>
      <m:oMath>
        <m:sSub>
          <m:e>
            <m:r>
              <m:t>μ</m:t>
            </m:r>
          </m:e>
          <m:sub>
            <m:r>
              <m:t>0</m:t>
            </m:r>
          </m:sub>
        </m:sSub>
      </m:oMath>
      <w:r>
        <w:t xml:space="preserve"> </w:t>
      </w:r>
      <w:r>
        <w:t xml:space="preserve">and</w:t>
      </w:r>
      <w:r>
        <w:t xml:space="preserve"> </w:t>
      </w:r>
      <m:oMath>
        <m:r>
          <m:t>α</m:t>
        </m:r>
      </m:oMath>
      <w:r>
        <w:t xml:space="preserve">, and some unknown parameters like</w:t>
      </w:r>
      <w:r>
        <w:t xml:space="preserve"> </w:t>
      </w:r>
      <m:oMath>
        <m:sSub>
          <m:e>
            <m:r>
              <m:t>μ</m:t>
            </m:r>
          </m:e>
          <m:sub>
            <m:r>
              <m:t>a</m:t>
            </m:r>
          </m:sub>
        </m:sSub>
      </m:oMath>
      <w:r>
        <w:t xml:space="preserve">,</w:t>
      </w:r>
      <w:r>
        <w:t xml:space="preserve"> </w:t>
      </w:r>
      <m:oMath>
        <m:r>
          <m:t>σ</m:t>
        </m:r>
      </m:oMath>
      <w:r>
        <w:t xml:space="preserve">, and</w:t>
      </w:r>
      <w:r>
        <w:t xml:space="preserve"> </w:t>
      </w:r>
      <m:oMath>
        <m:r>
          <m:t>n</m:t>
        </m:r>
      </m:oMath>
      <w:r>
        <w:t xml:space="preserve">. By omitting one of the unknown parameters and specifying the others,</w:t>
      </w:r>
      <w:r>
        <w:t xml:space="preserve"> </w:t>
      </w:r>
      <w:r>
        <w:rPr>
          <w:rStyle w:val="VerbatimChar"/>
        </w:rPr>
        <w:t xml:space="preserve">power.t.test</w:t>
      </w:r>
      <w:r>
        <w:t xml:space="preserve"> </w:t>
      </w:r>
      <w:r>
        <w:t xml:space="preserve">will solve for the omitted parameter.</w:t>
      </w:r>
    </w:p>
    <w:p>
      <w:pPr>
        <w:pStyle w:val="BodyText"/>
      </w:pPr>
      <w:r>
        <w:t xml:space="preserve">In the following examples, we specify n,</w:t>
      </w:r>
      <w:r>
        <w:t xml:space="preserve"> </w:t>
      </w:r>
      <w:r>
        <w:rPr>
          <w:rStyle w:val="VerbatimChar"/>
        </w:rPr>
        <w:t xml:space="preserve">delta</w:t>
      </w:r>
      <w:r>
        <w:t xml:space="preserve"> </w:t>
      </w:r>
      <w:r>
        <w:t xml:space="preserve">(difference in means), and the standard deviation to calculate power.</w:t>
      </w:r>
    </w:p>
    <w:p>
      <w:pPr>
        <w:pStyle w:val="SourceCode"/>
      </w:pP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p>
    <w:p>
      <w:pPr>
        <w:pStyle w:val="FirstParagraph"/>
      </w:pPr>
      <w:r>
        <w:t xml:space="preserve">The resulting power is dependent on the effect size, which is the difference between</w:t>
      </w:r>
      <w:r>
        <w:t xml:space="preserve"> </w:t>
      </w:r>
      <m:oMath>
        <m:sSub>
          <m:e>
            <m:r>
              <m:t>μ</m:t>
            </m:r>
          </m:e>
          <m:sub>
            <m:r>
              <m:t>0</m:t>
            </m:r>
          </m:sub>
        </m:sSub>
      </m:oMath>
      <w:r>
        <w:t xml:space="preserve"> </w:t>
      </w:r>
      <w:r>
        <w:t xml:space="preserve">and</w:t>
      </w:r>
      <w:r>
        <w:t xml:space="preserve"> </w:t>
      </w:r>
      <m:oMath>
        <m:sSub>
          <m:e>
            <m:r>
              <m:t>μ</m:t>
            </m:r>
          </m:e>
          <m:sub>
            <m:r>
              <m:t>a</m:t>
            </m:r>
          </m:sub>
        </m:sSub>
      </m:oMath>
      <w:r>
        <w:t xml:space="preserve"> </w:t>
      </w:r>
      <w:r>
        <w:t xml:space="preserve">divided by the standard deviation. The effect size is the key factor driving the power calculation.</w:t>
      </w:r>
    </w:p>
    <w:p>
      <w:pPr>
        <w:pStyle w:val="BodyText"/>
      </w:pPr>
      <w:r>
        <w:t xml:space="preserve">We can also calculate sample size by providing the desired power to</w:t>
      </w:r>
      <w:r>
        <w:t xml:space="preserve"> </w:t>
      </w:r>
      <w:r>
        <w:rPr>
          <w:rStyle w:val="VerbatimChar"/>
        </w:rPr>
        <w:t xml:space="preserve">power.t.test</w:t>
      </w:r>
      <w:r>
        <w:t xml:space="preserve">.</w:t>
      </w:r>
    </w:p>
    <w:p>
      <w:pPr>
        <w:pStyle w:val="SourceCode"/>
      </w:pP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p>
    <w:p>
      <w:pPr>
        <w:pStyle w:val="FirstParagraph"/>
      </w:pPr>
      <w:r>
        <w:t xml:space="preserve">For a given effect size, we can determine the required sample size to achieve a specific power level. It is advisable to round up the fractional sample size to the nearest integer when dealing with real data.</w:t>
      </w:r>
    </w:p>
    <w:p>
      <w:pPr>
        <w:pStyle w:val="BodyText"/>
      </w:pPr>
      <w:r>
        <w:t xml:space="preserve">Throughout the examples, we observe that the calculations remain the same when specifying equivalent effect sizes, regardless of the specific values used for</w:t>
      </w:r>
      <w:r>
        <w:t xml:space="preserve"> </w:t>
      </w:r>
      <w:r>
        <w:rPr>
          <w:rStyle w:val="VerbatimChar"/>
        </w:rPr>
        <w:t xml:space="preserve">delta</w:t>
      </w:r>
      <w:r>
        <w:t xml:space="preserve"> </w:t>
      </w:r>
      <w:r>
        <w:t xml:space="preserve">and the standard deviation.</w:t>
      </w:r>
    </w:p>
    <w:p>
      <w:pPr>
        <w:pStyle w:val="BodyText"/>
      </w:pPr>
      <w:r>
        <w:t xml:space="preserve">Exercise: you can omit the delta parameter and input a specific sample size (n) into the</w:t>
      </w:r>
      <w:r>
        <w:t xml:space="preserve"> </w:t>
      </w:r>
      <w:r>
        <w:rPr>
          <w:rStyle w:val="VerbatimChar"/>
        </w:rPr>
        <w:t xml:space="preserve">power.t.test</w:t>
      </w:r>
      <w:r>
        <w:t xml:space="preserve"> </w:t>
      </w:r>
      <w:r>
        <w:t xml:space="preserve">function. This will allow you to determine the minimum detectable delta, the smallest difference between mu0 and mu a that can be detected with 80% power using that sample size. With the code provided earlier, this extension should not be too challenging.</w:t>
      </w:r>
    </w:p>
    <w:p>
      <w:pPr>
        <w:pStyle w:val="BodyText"/>
      </w:pPr>
      <w:r>
        <w:t xml:space="preserve">We recommend using</w:t>
      </w:r>
      <w:r>
        <w:t xml:space="preserve"> </w:t>
      </w:r>
      <w:r>
        <w:rPr>
          <w:rStyle w:val="VerbatimChar"/>
        </w:rPr>
        <w:t xml:space="preserve">power.t.test</w:t>
      </w:r>
      <w:r>
        <w:t xml:space="preserve"> </w:t>
      </w:r>
      <w:r>
        <w:t xml:space="preserve">as your initial approach for power calculations. One of the main reasons behind this preference is that power calculations involve various factors and settings that can easily lead to confusion. It is common to overestimate the power or underestimate the required sample size. Therefore, when in doubt, it is advisable to simplify the power calculation as much as possible. You can try to reframe your question as a t-test or a binomial test to perform a straightforward power calculation. Although this approach may yield a slightly conservative power or sample size estimate, it provides a clear understanding of the calculation. Once you have a solid foundation, you can proceed to more complex power calculations if necessary.</w:t>
      </w:r>
    </w:p>
    <w:bookmarkEnd w:id="143"/>
    <w:bookmarkEnd w:id="144"/>
    <w:bookmarkStart w:id="172" w:name="multiple-comparisons"/>
    <w:p>
      <w:pPr>
        <w:pStyle w:val="Heading2"/>
      </w:pPr>
      <w:r>
        <w:rPr>
          <w:rStyle w:val="SectionNumber"/>
        </w:rPr>
        <w:t xml:space="preserve">4.2</w:t>
      </w:r>
      <w:r>
        <w:tab/>
      </w:r>
      <w:r>
        <w:t xml:space="preserve">Multiple Comparisons</w:t>
      </w:r>
    </w:p>
    <w:p>
      <w:pPr>
        <w:pStyle w:val="FirstParagraph"/>
      </w:pPr>
      <w:r>
        <w:t xml:space="preserve">This topic is being taught by Jeff Leek. Jeff is known for his contributions to the field.</w:t>
      </w:r>
    </w:p>
    <w:p>
      <w:pPr>
        <w:pStyle w:val="BodyText"/>
      </w:pPr>
      <w:r>
        <w:t xml:space="preserve">This part focuses on the topic of multiple testing. We discussed hypothesis testing earlier in the course, and mentioned the importance of correcting for multiple tests to avoid deceiving ourselves. In this section, we’ll explore how to perform these corrections. The underlying idea is that hypothesis testing and significance analysis are frequently used techniques. However, they are often misused. One common practice is calculating multiple p-values when analyzing the same dataset and then only reporting the smallest p-value or considering all p-values below 0.05 as significant. This approach leads to issues as we demonstrate shortly.</w:t>
      </w:r>
    </w:p>
    <w:p>
      <w:pPr>
        <w:pStyle w:val="BodyText"/>
      </w:pPr>
      <w:r>
        <w:t xml:space="preserve">Our goal is to correct for multiple testing in order to prevent false positives or false discoveries when conducting analyses involving numerous variables. There are two essential components to multiple testing corrections. First, we need to define an error measure that we want to control. Second, we require a statistical method or correction that helps control that error measure. These concepts are related to the three eras of statistics, as discussed in Brad Efron’s book. The first era focused on large-scale population description using extensive datasets. The second era developed optimal inference techniques for extracting information from small sample sizes when data collection was challenging and costly. The third and current era is characterized by scientific mass production, where data is readily available and inexpensive. However, this also means that we perform an increasing number of analyses. If we fail to correct for the fact that each analysis carries a small potential for error, these errors can accumulate.</w:t>
      </w:r>
    </w:p>
    <w:p>
      <w:pPr>
        <w:pStyle w:val="BodyText"/>
      </w:pPr>
      <w:r>
        <w:t xml:space="preserve">The need for multiple testing corrections arises due to advancements in technology, which have led to a proliferation of data. These technologies span various fields, from next-generation sequencing in molecular biology to patient imaging in clinical studies and the use of electronic medical records. Additionally, personalized or individualized quantitative self-measurements, such as those obtained with devices like the Nike Fuel Band or FitBit, contribute to the increase in available data. So, why should we correct for multiple tests? Allow me to illustrate the key problem using this cartoon example from</w:t>
      </w:r>
      <w:r>
        <w:t xml:space="preserve"> </w:t>
      </w:r>
      <w:hyperlink r:id="rId145">
        <w:r>
          <w:rPr>
            <w:rStyle w:val="Hyperlink"/>
          </w:rPr>
          <w:t xml:space="preserve">xkcd page</w:t>
        </w:r>
      </w:hyperlink>
      <w:r>
        <w:t xml:space="preserve">, where we want to investigate whether jelly beans cause acne..</w:t>
      </w:r>
    </w:p>
    <w:p>
      <w:pPr>
        <w:pStyle w:val="CaptionedFigure"/>
      </w:pPr>
      <w:r>
        <w:drawing>
          <wp:inline>
            <wp:extent cx="5334000" cy="14796911"/>
            <wp:effectExtent b="0" l="0" r="0" t="0"/>
            <wp:docPr descr="https://imgs.xkcd.com/comics/significant.png" title="" id="1" name="Picture"/>
            <a:graphic>
              <a:graphicData uri="http://schemas.openxmlformats.org/drawingml/2006/picture">
                <pic:pic>
                  <pic:nvPicPr>
                    <pic:cNvPr descr="https://imgs.xkcd.com/comics/significant.png" id="0" name="Picture"/>
                    <pic:cNvPicPr>
                      <a:picLocks noChangeArrowheads="1" noChangeAspect="1"/>
                    </pic:cNvPicPr>
                  </pic:nvPicPr>
                  <pic:blipFill>
                    <a:blip r:embed="rId146"/>
                    <a:stretch>
                      <a:fillRect/>
                    </a:stretch>
                  </pic:blipFill>
                  <pic:spPr bwMode="auto">
                    <a:xfrm>
                      <a:off x="0" y="0"/>
                      <a:ext cx="5334000" cy="14796911"/>
                    </a:xfrm>
                    <a:prstGeom prst="rect">
                      <a:avLst/>
                    </a:prstGeom>
                    <a:noFill/>
                    <a:ln w="9525">
                      <a:noFill/>
                      <a:headEnd/>
                      <a:tailEnd/>
                    </a:ln>
                  </pic:spPr>
                </pic:pic>
              </a:graphicData>
            </a:graphic>
          </wp:inline>
        </w:drawing>
      </w:r>
    </w:p>
    <w:p>
      <w:pPr>
        <w:pStyle w:val="ImageCaption"/>
      </w:pPr>
      <w:bookmarkStart w:id="147" w:name="fig34"/>
      <w:r>
        <w:t xml:space="preserve">Figure </w:t>
      </w:r>
      <w:fldSimple w:instr="SEQ Figure \* ARABIC ">
        <w:r>
          <w:t>34</w:t>
        </w:r>
      </w:fldSimple>
      <w:r>
        <w:t xml:space="preserve">:</w:t>
      </w:r>
      <w:r>
        <w:t xml:space="preserve"> </w:t>
      </w:r>
      <w:bookmarkEnd w:id="147"/>
      <w:hyperlink r:id="rId148">
        <w:r>
          <w:rPr>
            <w:rStyle w:val="Hyperlink"/>
          </w:rPr>
          <w:t xml:space="preserve">https://imgs.xkcd.com/comics/significant.png</w:t>
        </w:r>
      </w:hyperlink>
    </w:p>
    <w:p>
      <w:pPr>
        <w:pStyle w:val="BodyText"/>
      </w:pPr>
      <w:r>
        <w:t xml:space="preserve">So what happens is you send a team of scientists to investigate the relationship between jelly beans and acne. Initially, they examine all types of jelly beans and find that the p-value is greater than 0.05, indicating no significant association. They then decide to test each color of jelly beans individually to see if any specific color is linked to acne. However, for each color tested, the p-value is still greater than 0.05, so they do not report any significant results. Finally, after testing over 20 different types of jelly beans, they discover a significant association between green jelly beans and acne. They claim that there is only a 5% chance of this association occurring by chance alone. However, considering the number of hypotheses tested (20 in this case), it becomes highly likely that at least one of them would result in a coincidental finding. If we allow for a 5% chance of error in each hypothesis test and perform at least 20 tests, we can expect to encounter at least one error, as 20 multiplied by 5% is approximately 100%. We have been using p-values and hypothesis testing as interchangeable terms, but they are not exactly the same.</w:t>
      </w:r>
    </w:p>
    <w:p>
      <w:pPr>
        <w:pStyle w:val="BodyText"/>
      </w:pPr>
      <w:r>
        <w:t xml:space="preserve">To illustrate this, let’s consider a hypothesis test for a parameter,</w:t>
      </w:r>
      <w:r>
        <w:t xml:space="preserve"> </w:t>
      </w:r>
      <m:oMath>
        <m:r>
          <m:t>β</m:t>
        </m:r>
      </m:oMath>
      <w:r>
        <w:t xml:space="preserve">, where we want to determine if it equals zero or not.</w:t>
      </w:r>
      <w:r>
        <w:t xml:space="preserve"> </w:t>
      </w:r>
      <w:r>
        <w:t xml:space="preserve">In a linear regression model, if the coefficient for a certain variable is equal to zero, it implies no association between the variables. Conversely, if it is not equal to zero, there is some association. To perform a hypothesis test, we fit the linear regression model and calculate a p-value. Then, we compare the p-value to a predetermined threshold. If the p-value is below the threshold, we reject the null hypothesis that</w:t>
      </w:r>
      <w:r>
        <w:t xml:space="preserve"> </w:t>
      </w:r>
      <m:oMath>
        <m:r>
          <m:t>β</m:t>
        </m:r>
      </m:oMath>
      <w:r>
        <w:t xml:space="preserve"> </w:t>
      </w:r>
      <w:r>
        <w:t xml:space="preserve">equals zero and conclude that</w:t>
      </w:r>
      <w:r>
        <w:t xml:space="preserve"> </w:t>
      </w:r>
      <m:oMath>
        <m:r>
          <m:t>β</m:t>
        </m:r>
      </m:oMath>
      <w:r>
        <w:t xml:space="preserve"> </w:t>
      </w:r>
      <w:r>
        <w:t xml:space="preserve">is not equal to zero. If the p-value is above the threshold, we fail to reject the null hypothesis and state that</w:t>
      </w:r>
      <w:r>
        <w:t xml:space="preserve"> </w:t>
      </w:r>
      <m:oMath>
        <m:r>
          <m:t>β</m:t>
        </m:r>
      </m:oMath>
      <w:r>
        <w:t xml:space="preserve"> </w:t>
      </w:r>
      <w:r>
        <w:t xml:space="preserve">equals zero. This is the essence of a hypothesis test.</w:t>
      </w:r>
    </w:p>
    <w:p>
      <w:pPr>
        <w:pStyle w:val="BodyText"/>
      </w:pPr>
      <w:r>
        <w:t xml:space="preserve">In the context of hypothesis testing, we have a table of possible outcomes. Each row represents a specific claim about</w:t>
      </w:r>
      <w:r>
        <w:t xml:space="preserve"> </w:t>
      </w:r>
      <m:oMath>
        <m:r>
          <m:t>β</m:t>
        </m:r>
      </m:oMath>
      <w:r>
        <w:t xml:space="preserve"> </w:t>
      </w:r>
      <w:r>
        <w:t xml:space="preserve">(equal to zero or not equal to zero), while each column represents the true state of the world (</w:t>
      </w:r>
      <m:oMath>
        <m:r>
          <m:t>β</m:t>
        </m:r>
      </m:oMath>
      <w:r>
        <w:t xml:space="preserve"> </w:t>
      </w:r>
      <w:r>
        <w:t xml:space="preserve">equals zero or not equal to zero). When conducting multiple hypothesis tests, situations where we claim</w:t>
      </w:r>
      <w:r>
        <w:t xml:space="preserve"> </w:t>
      </w:r>
      <m:oMath>
        <m:r>
          <m:t>β</m:t>
        </m:r>
      </m:oMath>
      <w:r>
        <w:t xml:space="preserve"> </w:t>
      </w:r>
      <w:r>
        <w:t xml:space="preserve">is equal to zero but it is actually not fall into one cell, and situations where we claim</w:t>
      </w:r>
      <w:r>
        <w:t xml:space="preserve"> </w:t>
      </w:r>
      <m:oMath>
        <m:r>
          <m:t>β</m:t>
        </m:r>
      </m:oMath>
      <w:r>
        <w:t xml:space="preserve"> </w:t>
      </w:r>
      <w:r>
        <w:t xml:space="preserve">is not equal to zero but it is actually equal to zero fall into another cell. Therefore, there are two types of errors that can occur.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m:oMath>
              <m:r>
                <m:t>β</m:t>
              </m:r>
              <m:r>
                <m:rPr>
                  <m:sty m:val="p"/>
                </m:rPr>
                <m:t>=</m:t>
              </m:r>
              <m:r>
                <m:t>0</m:t>
              </m:r>
            </m:oMath>
          </w:p>
        </w:tc>
        <w:tc>
          <w:tcPr/>
          <w:p>
            <w:pPr>
              <w:pStyle w:val="Compact"/>
              <w:jc w:val="left"/>
            </w:pPr>
            <m:oMath>
              <m:r>
                <m:t>β</m:t>
              </m:r>
              <m:r>
                <m:rPr>
                  <m:sty m:val="p"/>
                </m:rPr>
                <m:t>≠</m:t>
              </m:r>
              <m:r>
                <m:t>0</m:t>
              </m:r>
            </m:oMath>
          </w:p>
        </w:tc>
        <w:tc>
          <w:tcPr/>
          <w:p>
            <w:pPr>
              <w:pStyle w:val="Compact"/>
              <w:jc w:val="left"/>
            </w:pPr>
            <m:oMath>
              <m:r>
                <m:t>H</m:t>
              </m:r>
              <m:r>
                <m:t>y</m:t>
              </m:r>
              <m:r>
                <m:t>p</m:t>
              </m:r>
              <m:r>
                <m:t>o</m:t>
              </m:r>
              <m:r>
                <m:t>t</m:t>
              </m:r>
              <m:r>
                <m:t>h</m:t>
              </m:r>
              <m:r>
                <m:t>e</m:t>
              </m:r>
              <m:r>
                <m:t>s</m:t>
              </m:r>
              <m:r>
                <m:t>e</m:t>
              </m:r>
              <m:r>
                <m:t>s</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U</m:t>
              </m:r>
            </m:oMath>
          </w:p>
        </w:tc>
        <w:tc>
          <w:tcPr/>
          <w:p>
            <w:pPr>
              <w:pStyle w:val="Compact"/>
              <w:jc w:val="left"/>
            </w:pPr>
            <m:oMath>
              <m:r>
                <m:t>T</m:t>
              </m:r>
            </m:oMath>
          </w:p>
        </w:tc>
        <w:tc>
          <w:tcPr/>
          <w:p>
            <w:pPr>
              <w:pStyle w:val="Compact"/>
              <w:jc w:val="left"/>
            </w:pPr>
            <m:oMath>
              <m:r>
                <m:t>m</m:t>
              </m:r>
              <m:r>
                <m:rPr>
                  <m:sty m:val="p"/>
                </m:rPr>
                <m:t>−</m:t>
              </m:r>
              <m:r>
                <m:t>R</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V</m:t>
              </m:r>
            </m:oMath>
          </w:p>
        </w:tc>
        <w:tc>
          <w:tcPr/>
          <w:p>
            <w:pPr>
              <w:pStyle w:val="Compact"/>
              <w:jc w:val="left"/>
            </w:pPr>
            <m:oMath>
              <m:r>
                <m:t>S</m:t>
              </m:r>
            </m:oMath>
          </w:p>
        </w:tc>
        <w:tc>
          <w:tcPr/>
          <w:p>
            <w:pPr>
              <w:pStyle w:val="Compact"/>
              <w:jc w:val="left"/>
            </w:pPr>
            <m:oMath>
              <m:r>
                <m:t>R</m:t>
              </m:r>
            </m:oMath>
          </w:p>
        </w:tc>
      </w:tr>
      <w:tr>
        <w:tc>
          <w:tcPr/>
          <w:p>
            <w:pPr>
              <w:pStyle w:val="Compact"/>
              <w:jc w:val="left"/>
            </w:pPr>
            <w:r>
              <w:t xml:space="preserve">Claims</w:t>
            </w:r>
          </w:p>
        </w:tc>
        <w:tc>
          <w:tcPr/>
          <w:p>
            <w:pPr>
              <w:pStyle w:val="Compact"/>
              <w:jc w:val="left"/>
            </w:pPr>
            <m:oMath>
              <m:sSub>
                <m:e>
                  <m:r>
                    <m:t>m</m:t>
                  </m:r>
                </m:e>
                <m:sub>
                  <m:r>
                    <m:t>0</m:t>
                  </m:r>
                </m:sub>
              </m:sSub>
            </m:oMath>
          </w:p>
        </w:tc>
        <w:tc>
          <w:tcPr/>
          <w:p>
            <w:pPr>
              <w:pStyle w:val="Compact"/>
              <w:jc w:val="left"/>
            </w:pPr>
            <m:oMath>
              <m:r>
                <m:t>m</m:t>
              </m:r>
              <m:r>
                <m:rPr>
                  <m:sty m:val="p"/>
                </m:rPr>
                <m:t>−</m:t>
              </m:r>
              <m:sSub>
                <m:e>
                  <m:r>
                    <m:t>m</m:t>
                  </m:r>
                </m:e>
                <m:sub>
                  <m:r>
                    <m:t>0</m:t>
                  </m:r>
                </m:sub>
              </m:sSub>
            </m:oMath>
          </w:p>
        </w:tc>
        <w:tc>
          <w:tcPr/>
          <w:p>
            <w:pPr>
              <w:pStyle w:val="Compact"/>
              <w:jc w:val="left"/>
            </w:pPr>
            <m:oMath>
              <m:r>
                <m:t>m</m:t>
              </m:r>
            </m:oMath>
          </w:p>
        </w:tc>
      </w:tr>
    </w:tbl>
    <w:p>
      <w:pPr>
        <w:pStyle w:val="BodyText"/>
      </w:pPr>
      <w:r>
        <w:t xml:space="preserve">Type I errors, or false positives, occur when we claim that beta is not equal to zero (there is a relationship), but in reality, there is no relationship. We denote the number of these errors as v. On the other hand, Type II errors, or false negatives, occur when we claim that beta is equal to zero (no relationship), but in reality, there is a relationship.</w:t>
      </w:r>
    </w:p>
    <w:p>
      <w:pPr>
        <w:pStyle w:val="BodyText"/>
      </w:pPr>
      <w:r>
        <w:t xml:space="preserve">Generally, when conducting scientific investigations, people tend to be more concerned about Type I errors, or false positives. We want to minimize the number of times we are led astray or encounter false positives. However, the emphasis on the two error rates may vary depending on the nature of the problem and the relative costs associated with each type of error. In multiple testing, there are several error rates to consider, which form the first component of a multiple testing procedure.</w:t>
      </w:r>
    </w:p>
    <w:p>
      <w:pPr>
        <w:pStyle w:val="BodyText"/>
      </w:pPr>
      <w:r>
        <w:t xml:space="preserve">The first error rate to consider is the false positive rate. This rate represents the frequency at which false results are deemed significant. In other words, it measures the average fraction of times we classify results as significant when they are not. This rate is calculated by dividing the number of false significant variables by the total number of non-significant variables.</w:t>
      </w:r>
    </w:p>
    <w:p>
      <w:pPr>
        <w:pStyle w:val="BodyText"/>
      </w:pPr>
      <w:r>
        <w:t xml:space="preserve">Another error measure is the family-wise error rate (FWER). It quantifies the probability of having at least one false positive result. The variable V represents the count of instances where there is no relationship between variables, yet we claim that there is. By controlling the family-wise error rate, we aim to limit the probability of making one or more false claims.</w:t>
      </w:r>
    </w:p>
    <w:p>
      <w:pPr>
        <w:pStyle w:val="BodyText"/>
      </w:pPr>
      <w:r>
        <w:t xml:space="preserve">The false discovery rate (FDR) is a distinct error measure that differs from the false positive rate. It captures the rate at which claims of significance are false. It calculates the ratio of expected false discoveries (E) to the number of claims of significance (R). In other words, it measures the rate at which our assertions of a relationship between variables are incorrect.</w:t>
      </w:r>
    </w:p>
    <w:p>
      <w:pPr>
        <w:pStyle w:val="BodyText"/>
      </w:pPr>
      <w:r>
        <w:t xml:space="preserve">The false positive rate is closely related to the Type I error rate, but there is a subtle distinction between the two. If you want to explore this topic further, you can refer to the Wikipedia page</w:t>
      </w:r>
      <w:r>
        <w:t xml:space="preserve"> </w:t>
      </w:r>
      <w:hyperlink r:id="rId149">
        <w:r>
          <w:rPr>
            <w:rStyle w:val="Hyperlink"/>
          </w:rPr>
          <w:t xml:space="preserve">linked here</w:t>
        </w:r>
      </w:hyperlink>
      <w:r>
        <w:t xml:space="preserve">.</w:t>
      </w:r>
    </w:p>
    <w:p>
      <w:pPr>
        <w:pStyle w:val="BodyText"/>
      </w:pPr>
      <w:r>
        <w:t xml:space="preserve">The next step in multiple testing is defining a procedure that can control the specified error measure. In other words, we need a method to constrain the error rate in a particular manner. To control the false positive rate, you can utilize the calculated p-values directly. By setting a threshold alpha (between 0 and 1) and considering all p-values below this threshold as significant, you can effectively control the false positive rate at the chosen level on average.</w:t>
      </w:r>
    </w:p>
    <w:p>
      <w:pPr>
        <w:pStyle w:val="BodyText"/>
      </w:pPr>
      <w:r>
        <w:t xml:space="preserve">In other words, when controlling the false positive rate, the expected rate of false positives is kept below the threshold alpha. However, there’s a problem with this approach. Let’s consider a scenario where you perform a large number of hypothesis tests, say 10,000 tests. Although this might seem extreme, it is common in high-dimensional settings or signal processing contexts. If you designate all p-values below 0.05 as significant (with alpha set to 0.05), the expected number of false positives would be 500 (10,000 tests multiplied by the false positive rate). Consequently, if you obtain 500 significant results from these tests, it is highly likely that most of them are false positives. This raises the question of how to control a different error rate to avoid an excessive number of false positives.</w:t>
      </w:r>
    </w:p>
    <w:p>
      <w:pPr>
        <w:pStyle w:val="BodyText"/>
      </w:pPr>
      <w:r>
        <w:t xml:space="preserve">One option is to control the family-wise error rate, as discussed earlier. The</w:t>
      </w:r>
      <w:r>
        <w:t xml:space="preserve"> </w:t>
      </w:r>
      <w:hyperlink r:id="rId150">
        <w:r>
          <w:rPr>
            <w:rStyle w:val="Hyperlink"/>
          </w:rPr>
          <w:t xml:space="preserve">Bonferroni correction</w:t>
        </w:r>
      </w:hyperlink>
      <w:r>
        <w:t xml:space="preserve">, the oldest multiple testing correction method, can be used for this purpose. The basic idea is to calculate the p-values normally and then adjust the</w:t>
      </w:r>
      <w:r>
        <w:t xml:space="preserve"> </w:t>
      </w:r>
      <m:oMath>
        <m:r>
          <m:t>α</m:t>
        </m:r>
      </m:oMath>
      <w:r>
        <w:t xml:space="preserve"> </w:t>
      </w:r>
      <w:r>
        <w:t xml:space="preserve">level. By dividing the original</w:t>
      </w:r>
      <w:r>
        <w:t xml:space="preserve"> </w:t>
      </w:r>
      <m:oMath>
        <m:r>
          <m:t>α</m:t>
        </m:r>
      </m:oMath>
      <w:r>
        <w:t xml:space="preserve"> </w:t>
      </w:r>
      <w:r>
        <w:t xml:space="preserve">by the number of hypothesis tests performed (e.g.,</w:t>
      </w:r>
      <w:r>
        <w:t xml:space="preserve"> </w:t>
      </w:r>
      <m:oMath>
        <m:r>
          <m:t>α</m:t>
        </m:r>
      </m:oMath>
      <w:r>
        <w:t xml:space="preserve"> </w:t>
      </w:r>
      <w:r>
        <w:t xml:space="preserve">divided by 10 if there are 10 tests), a new</w:t>
      </w:r>
      <w:r>
        <w:t xml:space="preserve"> </w:t>
      </w:r>
      <m:oMath>
        <m:r>
          <m:t>α</m:t>
        </m:r>
      </m:oMath>
      <w:r>
        <w:t xml:space="preserve"> </w:t>
      </w:r>
      <w:r>
        <w:t xml:space="preserve">level is obtained. Any p-values below this new</w:t>
      </w:r>
      <w:r>
        <w:t xml:space="preserve"> </w:t>
      </w:r>
      <m:oMath>
        <m:r>
          <m:t>α</m:t>
        </m:r>
      </m:oMath>
      <w:r>
        <w:t xml:space="preserve"> </w:t>
      </w:r>
      <w:r>
        <w:t xml:space="preserve">level are deemed significant, effectively controlling the family-wise error rate on average. This method is easy to calculate and minimizes errors, as the probability of even one false positive is kept low. However, a downside is that it can be overly conservative, especially when dealing with a large number of tests. Allowing for a few false positives might be preferred if it increases the chances of discovering more genuine signals.</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FWER at level</w:t>
      </w:r>
      <w:r>
        <w:t xml:space="preserve"> </w:t>
      </w:r>
      <m:oMath>
        <m:r>
          <m:t>α</m:t>
        </m:r>
      </m:oMath>
      <w:r>
        <w:t xml:space="preserve"> </w:t>
      </w:r>
      <w:r>
        <w:t xml:space="preserve">so</w:t>
      </w:r>
      <w:r>
        <w:t xml:space="preserve"> </w:t>
      </w:r>
      <m:oMath>
        <m:r>
          <m:t>P</m:t>
        </m:r>
        <m:r>
          <m:t>r</m:t>
        </m:r>
        <m:d>
          <m:dPr>
            <m:begChr m:val="("/>
            <m:endChr m:val=")"/>
            <m:sepChr m:val=""/>
            <m:grow/>
          </m:dPr>
          <m:e>
            <m:r>
              <m:t>V</m:t>
            </m:r>
            <m:r>
              <m:rPr>
                <m:sty m:val="p"/>
              </m:rPr>
              <m:t>≥</m:t>
            </m:r>
            <m:r>
              <m:t>1</m:t>
            </m:r>
          </m:e>
        </m:d>
        <m:r>
          <m:rPr>
            <m:sty m:val="p"/>
          </m:rPr>
          <m:t>&lt;</m:t>
        </m:r>
        <m:r>
          <m:t>α</m:t>
        </m:r>
      </m:oMath>
      <w:r>
        <w:t xml:space="preserve"> </w:t>
      </w:r>
      <w:r>
        <w:t xml:space="preserve">* Calculate P-values normally</w:t>
      </w:r>
      <w:r>
        <w:t xml:space="preserve"> </w:t>
      </w:r>
      <w:r>
        <w:t xml:space="preserve">* Set</w:t>
      </w:r>
      <w:r>
        <w:t xml:space="preserve"> </w:t>
      </w:r>
      <m:oMath>
        <m:sSub>
          <m:e>
            <m:r>
              <m:t>α</m:t>
            </m:r>
          </m:e>
          <m:sub>
            <m:r>
              <m:t>f</m:t>
            </m:r>
            <m:r>
              <m:t>w</m:t>
            </m:r>
            <m:r>
              <m:t>e</m:t>
            </m:r>
            <m:r>
              <m:t>r</m:t>
            </m:r>
          </m:sub>
        </m:sSub>
        <m:r>
          <m:rPr>
            <m:sty m:val="p"/>
          </m:rPr>
          <m:t>=</m:t>
        </m:r>
        <m:r>
          <m:t>α</m:t>
        </m:r>
        <m:r>
          <m:rPr>
            <m:sty m:val="p"/>
          </m:rPr>
          <m:t>/</m:t>
        </m:r>
        <m:r>
          <m:t>m</m:t>
        </m:r>
      </m:oMath>
      <w:r>
        <w:t xml:space="preserve"> </w:t>
      </w:r>
      <w:r>
        <w:t xml:space="preserve">* Call all</w:t>
      </w:r>
      <w:r>
        <w:t xml:space="preserve"> </w:t>
      </w:r>
      <m:oMath>
        <m:r>
          <m:t>P</m:t>
        </m:r>
      </m:oMath>
      <w:r>
        <w:t xml:space="preserve">-values less than</w:t>
      </w:r>
      <w:r>
        <w:t xml:space="preserve"> </w:t>
      </w:r>
      <m:oMath>
        <m:sSub>
          <m:e>
            <m:r>
              <m:t>α</m:t>
            </m:r>
          </m:e>
          <m:sub>
            <m:r>
              <m:t>f</m:t>
            </m:r>
            <m:r>
              <m:t>w</m:t>
            </m:r>
            <m:r>
              <m:t>e</m:t>
            </m:r>
            <m:r>
              <m:t>r</m:t>
            </m:r>
          </m:sub>
        </m:sSub>
      </m:oMath>
      <w:r>
        <w:t xml:space="preserve"> </w:t>
      </w:r>
      <w:r>
        <w:t xml:space="preserve">significant</w:t>
      </w:r>
    </w:p>
    <w:p>
      <w:pPr>
        <w:pStyle w:val="BodyText"/>
      </w:pPr>
      <w:r>
        <w:rPr>
          <w:bCs/>
          <w:b/>
        </w:rPr>
        <w:t xml:space="preserve">Pros</w:t>
      </w:r>
      <w:r>
        <w:t xml:space="preserve">: Easy to calculate, conservative</w:t>
      </w:r>
      <w:r>
        <w:t xml:space="preserve"> </w:t>
      </w:r>
      <w:r>
        <w:rPr>
          <w:bCs/>
          <w:b/>
        </w:rPr>
        <w:t xml:space="preserve">Cons</w:t>
      </w:r>
      <w:r>
        <w:t xml:space="preserve">: May be very conservative</w:t>
      </w:r>
    </w:p>
    <w:p>
      <w:pPr>
        <w:pStyle w:val="BodyText"/>
      </w:pPr>
      <w:r>
        <w:t xml:space="preserve">This is where the false discovery rate (FDR) correction comes into play. It is the most commonly used error rate correction method for multiple testing, particularly when conducting numerous hypothesis tests in genomics, imaging, astronomy, and other signal processing fields. The FDR aims to control the expected number of false discoveries divided by the total number of discoveries, which can be interpreted as the level of noise in the results. If the FDR is set to</w:t>
      </w:r>
      <w:r>
        <w:t xml:space="preserve"> </w:t>
      </w:r>
      <m:oMath>
        <m:r>
          <m:t>α</m:t>
        </m:r>
      </m:oMath>
      <w:r>
        <w:t xml:space="preserve">, it means that you expect</w:t>
      </w:r>
      <w:r>
        <w:t xml:space="preserve"> </w:t>
      </w:r>
      <m:oMath>
        <m:r>
          <m:t>α</m:t>
        </m:r>
      </m:oMath>
      <w:r>
        <w:t xml:space="preserve"> </w:t>
      </w:r>
      <w:r>
        <w:t xml:space="preserve">percent of the claimed discoveries to be false. To apply the FDR correction, calculate the p-values normally and arrange them in ascending order. Each p-value is annotated with its rank (e.g., the smallest p-value is labeled as (1)).</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FDR at level</w:t>
      </w:r>
      <w:r>
        <w:t xml:space="preserve"> </w:t>
      </w:r>
      <m:oMath>
        <m:r>
          <m:t>α</m:t>
        </m:r>
      </m:oMath>
      <w:r>
        <w:t xml:space="preserve"> </w:t>
      </w:r>
      <w:r>
        <w:t xml:space="preserve">so</w:t>
      </w:r>
      <w:r>
        <w:t xml:space="preserve"> </w:t>
      </w:r>
      <m:oMath>
        <m:r>
          <m:t>E</m:t>
        </m:r>
        <m:d>
          <m:dPr>
            <m:begChr m:val="["/>
            <m:endChr m:val="]"/>
            <m:sepChr m:val=""/>
            <m:grow/>
          </m:dPr>
          <m:e>
            <m:f>
              <m:fPr>
                <m:type m:val="bar"/>
              </m:fPr>
              <m:num>
                <m:r>
                  <m:t>V</m:t>
                </m:r>
              </m:num>
              <m:den>
                <m:r>
                  <m:t>R</m:t>
                </m:r>
              </m:den>
            </m:f>
          </m:e>
        </m:d>
      </m:oMath>
      <w:r>
        <w:t xml:space="preserve"> </w:t>
      </w:r>
      <w:r>
        <w:t xml:space="preserve">* Calculate P-values normally</w:t>
      </w:r>
      <w:r>
        <w:t xml:space="preserve"> </w:t>
      </w:r>
      <w:r>
        <w:t xml:space="preserve">* Order the P-values from smallest to largest</w:t>
      </w:r>
      <w:r>
        <w:t xml:space="preserve"> </w:t>
      </w:r>
      <m:oMath>
        <m:sSub>
          <m:e>
            <m:r>
              <m:t>P</m:t>
            </m:r>
          </m:e>
          <m:sub>
            <m:d>
              <m:dPr>
                <m:begChr m:val="("/>
                <m:endChr m:val=")"/>
                <m:sepChr m:val=""/>
                <m:grow/>
              </m:dPr>
              <m:e>
                <m:r>
                  <m:t>1</m:t>
                </m:r>
              </m:e>
            </m:d>
          </m:sub>
        </m:sSub>
        <m:r>
          <m:rPr>
            <m:sty m:val="p"/>
          </m:rPr>
          <m:t>,</m:t>
        </m:r>
        <m:r>
          <m:rPr>
            <m:sty m:val="p"/>
          </m:rPr>
          <m:t>.</m:t>
        </m:r>
        <m:r>
          <m:rPr>
            <m:sty m:val="p"/>
          </m:rPr>
          <m:t>.</m:t>
        </m:r>
        <m:r>
          <m:rPr>
            <m:sty m:val="p"/>
          </m:rPr>
          <m:t>.</m:t>
        </m:r>
        <m:r>
          <m:rPr>
            <m:sty m:val="p"/>
          </m:rPr>
          <m:t>,</m:t>
        </m:r>
        <m:sSub>
          <m:e>
            <m:r>
              <m:t>P</m:t>
            </m:r>
          </m:e>
          <m:sub>
            <m:d>
              <m:dPr>
                <m:begChr m:val="("/>
                <m:endChr m:val=")"/>
                <m:sepChr m:val=""/>
                <m:grow/>
              </m:dPr>
              <m:e>
                <m:r>
                  <m:t>m</m:t>
                </m:r>
              </m:e>
            </m:d>
          </m:sub>
        </m:sSub>
      </m:oMath>
      <w:r>
        <w:t xml:space="preserve"> </w:t>
      </w:r>
      <w:r>
        <w:t xml:space="preserve">* Call any</w:t>
      </w:r>
      <w:r>
        <w:t xml:space="preserve"> </w:t>
      </w:r>
      <m:oMath>
        <m:sSub>
          <m:e>
            <m:r>
              <m:t>P</m:t>
            </m:r>
          </m:e>
          <m:sub>
            <m:d>
              <m:dPr>
                <m:begChr m:val="("/>
                <m:endChr m:val=")"/>
                <m:sepChr m:val=""/>
                <m:grow/>
              </m:dPr>
              <m:e>
                <m:r>
                  <m:t>i</m:t>
                </m:r>
              </m:e>
            </m:d>
          </m:sub>
        </m:sSub>
        <m:r>
          <m:rPr>
            <m:sty m:val="p"/>
          </m:rPr>
          <m:t>≤</m:t>
        </m:r>
        <m:r>
          <m:t>α</m:t>
        </m:r>
        <m:r>
          <m:rPr>
            <m:sty m:val="p"/>
          </m:rPr>
          <m:t>×</m:t>
        </m:r>
        <m:f>
          <m:fPr>
            <m:type m:val="bar"/>
          </m:fPr>
          <m:num>
            <m:r>
              <m:t>i</m:t>
            </m:r>
          </m:num>
          <m:den>
            <m:r>
              <m:t>m</m:t>
            </m:r>
          </m:den>
        </m:f>
      </m:oMath>
      <w:r>
        <w:t xml:space="preserve"> </w:t>
      </w:r>
      <w:r>
        <w:t xml:space="preserve">significant</w:t>
      </w:r>
    </w:p>
    <w:p>
      <w:pPr>
        <w:pStyle w:val="BodyText"/>
      </w:pPr>
      <w:r>
        <w:rPr>
          <w:bCs/>
          <w:b/>
        </w:rPr>
        <w:t xml:space="preserve">Pros</w:t>
      </w:r>
      <w:r>
        <w:t xml:space="preserve">: Still pretty easy to calculate, less conservative (maybe much less)</w:t>
      </w:r>
    </w:p>
    <w:p>
      <w:pPr>
        <w:pStyle w:val="BodyText"/>
      </w:pPr>
      <w:r>
        <w:rPr>
          <w:bCs/>
          <w:b/>
        </w:rPr>
        <w:t xml:space="preserve">Cons</w:t>
      </w:r>
      <w:r>
        <w:t xml:space="preserve">: Allows for more false positives, may behave strangely under dependence</w:t>
      </w:r>
    </w:p>
    <w:p>
      <w:pPr>
        <w:pStyle w:val="BodyText"/>
      </w:pPr>
      <w:r>
        <w:t xml:space="preserve">Now we consider the smallest calculated p-value, denoted as (1), and order them up to the maximum p-value, denoted as (m). Let’s assume there are m hypothesis tests. For each p-value at the ith position, we check if it is less than or equal to alpha times i divided by m. If this condition is true, we deem it significant; otherwise, we do not. This procedure is designed to control the false discovery rate. It shares similarities with the Bonferroni correction in terms of ease of calculation, but it is less conservative. If there is a substantial amount of signal present and a few false positives can be tolerated, the false discovery rate correction may lead to the discovery of more genuine signals. However, it does allow for more false positives, especially if the error rate is set to a large value. Additionally, it may exhibit peculiar behavior when there is dependence among the hypothesis tests.</w:t>
      </w:r>
    </w:p>
    <w:p>
      <w:pPr>
        <w:pStyle w:val="BodyText"/>
      </w:pPr>
      <w:r>
        <w:t xml:space="preserve">Example: In the following graph we will control all the error rates we discussed at a level of 0.2. Here, we have ten p-values ordered from smallest to largest. On the y-axis, we have the p-values themselves. The red line represents all the p-values that would be considered significant at an uncorrected alpha level of 0.2. It corresponds to the p-values below 0.2. Although this no-correction approach controls the false positive rate, it can lead to a significant number of false positives when conducting numerous hypothesis tests.</w:t>
      </w:r>
    </w:p>
    <w:p>
      <w:pPr>
        <w:pStyle w:val="CaptionedFigure"/>
      </w:pPr>
      <w:r>
        <w:drawing>
          <wp:inline>
            <wp:extent cx="5334000" cy="3000375"/>
            <wp:effectExtent b="0" l="0" r="0" t="0"/>
            <wp:docPr descr="Figure 2.1: Plotting the power curve" title="" id="1" name="Picture"/>
            <a:graphic>
              <a:graphicData uri="http://schemas.openxmlformats.org/drawingml/2006/picture">
                <pic:pic>
                  <pic:nvPicPr>
                    <pic:cNvPr descr="resources/images/week_04_files/figure-docx//1U1PiqeXG4XoKmg8hRFJqE1OFDOJfificBz1jLeDunHo_g257d7b8e795_0_175.png" id="0" name="Picture"/>
                    <pic:cNvPicPr>
                      <a:picLocks noChangeArrowheads="1" noChangeAspect="1"/>
                    </pic:cNvPicPr>
                  </pic:nvPicPr>
                  <pic:blipFill>
                    <a:blip r:embed="rId1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2" w:name="fig35"/>
      <w:r>
        <w:t xml:space="preserve">Figure </w:t>
      </w:r>
      <w:fldSimple w:instr="SEQ Figure \* ARABIC ">
        <w:r>
          <w:t>35</w:t>
        </w:r>
      </w:fldSimple>
      <w:r>
        <w:t xml:space="preserve">:</w:t>
      </w:r>
      <w:r>
        <w:t xml:space="preserve"> </w:t>
      </w:r>
      <w:bookmarkEnd w:id="152"/>
      <w:r>
        <w:t xml:space="preserve">Figure 2.1: Plotting the power curve</w:t>
      </w:r>
    </w:p>
    <w:p>
      <w:pPr>
        <w:pStyle w:val="BodyText"/>
      </w:pPr>
      <w:r>
        <w:t xml:space="preserve">Next, let’s examine the false discovery rate. This correction aims to control the proportion of false positives at a level of 0.2. To calculate this, we follow the gray line, which is a linear line with a slope determined by the alpha level. We compare each p-value with this line from smallest to largest. In this example, we would call the first three p-values significant, thus controlling a slightly different error measure. Lastly, the Bonferroni correction involves dividing 0.2 by the number of hypothesis tests (in this case, 10) to obtain 0.02. This corresponds to a horizontal line. According to the Bonferroni correction, only the first two p-values would be considered significant, and the remaining ones would be deemed insignificant. The Bonferroni correction imposes a more stringent control over the family-wise error rate. This example provides a conceptual understanding of how different procedures work and where the cutoffs are set for different sets of p-values.</w:t>
      </w:r>
    </w:p>
    <w:p>
      <w:pPr>
        <w:pStyle w:val="BodyText"/>
      </w:pPr>
      <w:r>
        <w:t xml:space="preserve">Another approach is to adjust the p-values instead of adjusting the alpha level. Adjusted p-values, also known as corrected p-values, can be calculated to directly control error measures without modifying the alpha parameter. It is worth noting that adjusted p-values do not possess the same properties as classical p-values and should not be treated as such. However, they can be useful for controlling error measures.</w:t>
      </w:r>
    </w:p>
    <w:p>
      <w:pPr>
        <w:pStyle w:val="BodyText"/>
      </w:pPr>
      <w:r>
        <w:t xml:space="preserve">Example: Using the Bonferroni correction show how adjusted p-values work. Suppose we have m p-values. To adjust them, we can calculate m times each p-value and take the maximum of that and 1. This ensures that the adjusted p-values do not exceed 1, just like the original p-values. By multiplying the p-values by m instead of dividing alpha by m, we can determine the number of adjusted p-values that are less than alpha. This yields the same set of significant results as before. Consequently, we can use these adjusted p-values, such as Bonferroni-adjusted p-values, to assess significance by comparing them to the original alpha level, such as 0.05. If we multiply the p-values by the number of tests performed and count how many are less than alpha, we effectively control the family-wise error rate at level alpha.</w:t>
      </w:r>
    </w:p>
    <w:p>
      <w:pPr>
        <w:pStyle w:val="BodyText"/>
      </w:pPr>
      <w:r>
        <w:t xml:space="preserve">Now, let’s consider an example where there are no true positives.</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br/>
      </w:r>
      <w:r>
        <w:rPr>
          <w:rStyle w:val="CommentTok"/>
        </w:rPr>
        <w:t xml:space="preserve"># Controls false positive rate</w:t>
      </w:r>
      <w:r>
        <w:br/>
      </w:r>
      <w:r>
        <w:rPr>
          <w:rStyle w:val="FunctionTok"/>
        </w:rPr>
        <w:t xml:space="preserve">sum</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In this simulation, 1,000 data sets are generated where the variables y and x have no relationship. Despite this absence of a relationship, the p-values for the relationship between y and x are calculated for all 1,000 simulated examples. Among these p-values, the number that is less than 0.05 is determined. In this case, even though there is no true relationship, approximately 5% of the performed tests are falsely identified as significant, amounting to 51 tests.</w:t>
      </w:r>
      <w:r>
        <w:t xml:space="preserve"> </w:t>
      </w:r>
      <w:r>
        <w:t xml:space="preserve">To address this, we can adjust the p-values and apply corrections like the Bonferroni correction or the Benjamini-Hochberg correction for controlling the false discovery rate. Using the</w:t>
      </w:r>
      <w:r>
        <w:t xml:space="preserve"> </w:t>
      </w:r>
      <w:r>
        <w:rPr>
          <w:rStyle w:val="VerbatimChar"/>
        </w:rPr>
        <w:t xml:space="preserve">P.adjust</w:t>
      </w:r>
      <w:r>
        <w:t xml:space="preserve"> </w:t>
      </w:r>
      <w:r>
        <w:t xml:space="preserve">function in R, the p-values are adjusted accordingly.</w:t>
      </w:r>
    </w:p>
    <w:p>
      <w:pPr>
        <w:pStyle w:val="SourceCode"/>
      </w:pPr>
      <w:r>
        <w:rPr>
          <w:rStyle w:val="CommentTok"/>
        </w:rPr>
        <w:t xml:space="preserve"># Controls FWER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Controls FDR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For the Bonferroni correction, the adjusted p-values are compared to the alpha level of 0.05, resulting in zero significant discoveries when there are no true positives. Similarly, the Benjamini-Hochberg correction can be applied by adjusting the p-values and examining the number of adjusted p-values less than 0.05. Again, in the case of no significant relationships, no discoveries should be made, and the result reflects this expectation.</w:t>
      </w:r>
    </w:p>
    <w:p>
      <w:pPr>
        <w:pStyle w:val="BodyText"/>
      </w:pPr>
      <w:r>
        <w:t xml:space="preserve">Now, let’s consider another simulated scenario to further illustrate the concepts. In this case, we will have a relationship between the two variables 50% of the time.</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mmentTok"/>
        </w:rPr>
        <w:t xml:space="preserve"># First 500 beta=0, last 500 beta=2</w:t>
      </w:r>
      <w:r>
        <w:br/>
      </w:r>
      <w:r>
        <w:rPr>
          <w:rStyle w:val="NormalTok"/>
        </w:rPr>
        <w:t xml:space="preserve">  </w:t>
      </w:r>
      <w:r>
        <w:rPr>
          <w:rStyle w:val="ControlFlowTok"/>
        </w:rPr>
        <w:t xml:space="preserve">if</w:t>
      </w:r>
      <w:r>
        <w:rPr>
          <w:rStyle w:val="NormalTok"/>
        </w:rPr>
        <w:t xml:space="preserve">(i </w:t>
      </w:r>
      <w:r>
        <w:rPr>
          <w:rStyle w:val="SpecialCharTok"/>
        </w:rPr>
        <w:t xml:space="preserve">&lt;=</w:t>
      </w:r>
      <w:r>
        <w:rPr>
          <w:rStyle w:val="NormalTok"/>
        </w:rPr>
        <w:t xml:space="preserve"> </w:t>
      </w:r>
      <w:r>
        <w:rPr>
          <w:rStyle w:val="DecValTok"/>
        </w:rPr>
        <w:t xml:space="preserve">500</w:t>
      </w: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ControlFlowTok"/>
        </w:rPr>
        <w:t xml:space="preserve">else</w:t>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AttributeTok"/>
        </w:rPr>
        <w:t xml:space="preserve">mean=</w:t>
      </w:r>
      <w:r>
        <w:rPr>
          <w:rStyle w:val="DecValTok"/>
        </w:rPr>
        <w:t xml:space="preserve">2</w:t>
      </w:r>
      <w:r>
        <w:rPr>
          <w:rStyle w:val="SpecialCharTok"/>
        </w:rPr>
        <w:t xml:space="preserve">*</w:t>
      </w:r>
      <w:r>
        <w:rPr>
          <w:rStyle w:val="NormalTok"/>
        </w:rPr>
        <w:t xml:space="preserve">x)}</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trueStatus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"zero"</w:t>
      </w:r>
      <w:r>
        <w:rPr>
          <w:rStyle w:val="NormalTok"/>
        </w:rPr>
        <w:t xml:space="preserve">,</w:t>
      </w:r>
      <w:r>
        <w:rPr>
          <w:rStyle w:val="StringTok"/>
        </w:rPr>
        <w:t xml:space="preserve">"not zero"</w:t>
      </w:r>
      <w:r>
        <w:rPr>
          <w:rStyle w:val="NormalTok"/>
        </w:rPr>
        <w:t xml:space="preserve">),</w:t>
      </w:r>
      <w:r>
        <w:rPr>
          <w:rStyle w:val="AttributeTok"/>
        </w:rPr>
        <w:t xml:space="preserve">each=</w:t>
      </w:r>
      <w:r>
        <w:rPr>
          <w:rStyle w:val="DecValTok"/>
        </w:rPr>
        <w:t xml:space="preserve">500</w:t>
      </w:r>
      <w:r>
        <w:rPr>
          <w:rStyle w:val="NormalTok"/>
        </w:rPr>
        <w:t xml:space="preserve">)</w:t>
      </w:r>
      <w:r>
        <w:br/>
      </w:r>
      <w:r>
        <w:rPr>
          <w:rStyle w:val="FunctionTok"/>
        </w:rPr>
        <w:t xml:space="preserve">table</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 trueStatus)</w:t>
      </w:r>
    </w:p>
    <w:p>
      <w:pPr>
        <w:pStyle w:val="FirstParagraph"/>
      </w:pPr>
      <w:r>
        <w:t xml:space="preserve">To simulate this, we generate 1,000 sets of y and x variables. For the first 500 sets, the y values are independent of x, while for the last 500 sets, the y values have a mean equal to 2 times x, indicating a relationship between y and x. We calculate a p-value for each case and define the true status as beta = 0 for the first 500 sets and beta ≠ 0 for the last 500 sets. This allows us to analyze the results.</w:t>
      </w:r>
    </w:p>
    <w:p>
      <w:pPr>
        <w:pStyle w:val="BodyText"/>
      </w:pPr>
      <w:r>
        <w:t xml:space="preserve">First, let’s examine the number of p-values less than 0.05 without any correction. We find that, in cases where there is actually no relationship between the variables, we still have around 5% false positive results. On the other hand, for the cases where there is a relationship, all the p-values are less than 0.05, correctly identifying the true signals.</w:t>
      </w:r>
    </w:p>
    <w:p>
      <w:pPr>
        <w:pStyle w:val="SourceCode"/>
      </w:pPr>
      <w:r>
        <w:rPr>
          <w:rStyle w:val="CommentTok"/>
        </w:rPr>
        <w:t xml:space="preserve"># Controls FWER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r>
        <w:br/>
      </w:r>
      <w:r>
        <w:rPr>
          <w:rStyle w:val="CommentTok"/>
        </w:rPr>
        <w:t xml:space="preserve"># Controls FDR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p>
    <w:p>
      <w:pPr>
        <w:pStyle w:val="FirstParagraph"/>
      </w:pPr>
      <w:r>
        <w:t xml:space="preserve">Next, if we apply the Bonferroni correction by adjusting the p-values using the P.adjust function with the method set to Bonferroni, we observe slightly fewer significant results. In other words, we miss 23 cases where there should be a signal. However, we have zero false positives because we are controlling the probability of any false positive to be less than 0.05.</w:t>
      </w:r>
    </w:p>
    <w:p>
      <w:pPr>
        <w:pStyle w:val="BodyText"/>
      </w:pPr>
      <w:r>
        <w:t xml:space="preserve">Now, let’s consider the false discovery rate (FDR) and apply the Benjamini-Hochberg correction. By setting the method to</w:t>
      </w:r>
      <w:r>
        <w:t xml:space="preserve"> </w:t>
      </w:r>
      <w:r>
        <w:t xml:space="preserve">“</w:t>
      </w:r>
      <w:r>
        <w:t xml:space="preserve">bh</w:t>
      </w:r>
      <w:r>
        <w:t xml:space="preserve">”</w:t>
      </w:r>
      <w:r>
        <w:t xml:space="preserve"> </w:t>
      </w:r>
      <w:r>
        <w:t xml:space="preserve">in the P.adjust function, we discover all the significant results, but we identify fewer false positives compared to the uncorrected analysis. In this case, around 5% of the cases are falsely called significant, while only about 5% of the time is there actually no true relationship.</w:t>
      </w:r>
    </w:p>
    <w:p>
      <w:pPr>
        <w:pStyle w:val="BodyText"/>
      </w:pPr>
      <w:r>
        <w:t xml:space="preserve">To visualize the effects of the p-value adjustment, we can plot the p-values versus the adjusted p-values for both the Bonferroni correction and the Benjamini-Hochberg correction. For the Bonferroni method, we multiply each p-value by the number of tests performed (1,000 in this case). As a result, the smallest p-values remain less than one, but beyond a certain point, all the p-values multiplied by 1,000 become equal to or greater than one. Since adjusted p-values cannot exceed one, we observe a flat line in the plot.</w:t>
      </w:r>
    </w:p>
    <w:p>
      <w:pPr>
        <w:pStyle w:val="CaptionedFigure"/>
      </w:pPr>
      <w:r>
        <w:drawing>
          <wp:inline>
            <wp:extent cx="5334000" cy="3000375"/>
            <wp:effectExtent b="0" l="0" r="0" t="0"/>
            <wp:docPr descr="Figure 1.12: Plotting the p_values" title="" id="1" name="Picture"/>
            <a:graphic>
              <a:graphicData uri="http://schemas.openxmlformats.org/drawingml/2006/picture">
                <pic:pic>
                  <pic:nvPicPr>
                    <pic:cNvPr descr="resources/images/week_04_files/figure-docx//1U1PiqeXG4XoKmg8hRFJqE1OFDOJfificBz1jLeDunHo_g257d7b8e795_0_178.png" id="0" name="Picture"/>
                    <pic:cNvPicPr>
                      <a:picLocks noChangeArrowheads="1" noChangeAspect="1"/>
                    </pic:cNvPicPr>
                  </pic:nvPicPr>
                  <pic:blipFill>
                    <a:blip r:embed="rId15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4" w:name="fig36"/>
      <w:r>
        <w:t xml:space="preserve">Figure </w:t>
      </w:r>
      <w:fldSimple w:instr="SEQ Figure \* ARABIC ">
        <w:r>
          <w:t>36</w:t>
        </w:r>
      </w:fldSimple>
      <w:r>
        <w:t xml:space="preserve">:</w:t>
      </w:r>
      <w:r>
        <w:t xml:space="preserve"> </w:t>
      </w:r>
      <w:bookmarkEnd w:id="154"/>
      <w:r>
        <w:t xml:space="preserve">Figure 1.12: Plotting the p_values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t xml:space="preserve">Overall, these analyses demonstrate the usefulness of p-value adjustment methods in understanding and controlling error rates, even though they may not directly impact the performance of hypothesis tests.</w:t>
      </w:r>
    </w:p>
    <w:p>
      <w:pPr>
        <w:pStyle w:val="BodyText"/>
      </w:pPr>
      <w:r>
        <w:t xml:space="preserve">In contrast, when applying the Benjamini-Hochberg correction, we observe a slightly increasing function between the p-value and the adjusted p-value. The adjusted p-value is generally larger across the entire range compared to the actual p-value, although not significantly larger in this particular case. This behavior occurs because there are many significant results present.</w:t>
      </w:r>
    </w:p>
    <w:p>
      <w:pPr>
        <w:pStyle w:val="BodyText"/>
      </w:pPr>
      <w:r>
        <w:t xml:space="preserve">Now, let’s discuss some additional notes and resources related to multiple testing. Multiple testing is a subfield of statistics with various correction methods available depending on factors such as the dependence structure and specific choices made in the statistical model.</w:t>
      </w:r>
    </w:p>
    <w:p>
      <w:pPr>
        <w:pStyle w:val="BodyText"/>
      </w:pPr>
      <w:r>
        <w:t xml:space="preserve">For most standard problems, the basic Bonferroni or Benjamini-Hochberg correction is usually sufficient. However, if there is strong dependence between the tests, you may want to consider using the</w:t>
      </w:r>
      <w:r>
        <w:t xml:space="preserve"> </w:t>
      </w:r>
      <w:r>
        <w:t xml:space="preserve">“</w:t>
      </w:r>
      <w:r>
        <w:t xml:space="preserve">method = BY</w:t>
      </w:r>
      <w:r>
        <w:t xml:space="preserve">”</w:t>
      </w:r>
      <w:r>
        <w:t xml:space="preserve"> </w:t>
      </w:r>
      <w:r>
        <w:t xml:space="preserve">option in the p.adjust function or explore other direct adjustments tailored to the dependence between hypothesis tests. We have conducted some research in this area, and I invite you to explore my papers for more information.</w:t>
      </w:r>
    </w:p>
    <w:p>
      <w:pPr>
        <w:pStyle w:val="BodyText"/>
      </w:pPr>
      <w:r>
        <w:t xml:space="preserve">Regarding resources, there is a comprehensive and informative paper titled</w:t>
      </w:r>
      <w:r>
        <w:t xml:space="preserve"> </w:t>
      </w:r>
      <w:r>
        <w:t xml:space="preserve">“</w:t>
      </w:r>
      <w:r>
        <w:t xml:space="preserve">A Gentle Introduction to Multiple Testing Procedures with Applications in Genomics.</w:t>
      </w:r>
      <w:r>
        <w:t xml:space="preserve">”</w:t>
      </w:r>
      <w:r>
        <w:t xml:space="preserve"> </w:t>
      </w:r>
      <w:r>
        <w:t xml:space="preserve">It focuses on genomics, an area where multiple testing has seen significant development as a statistical discipline. Similarly,</w:t>
      </w:r>
      <w:r>
        <w:t xml:space="preserve"> </w:t>
      </w:r>
      <w:r>
        <w:t xml:space="preserve">“</w:t>
      </w:r>
      <w:r>
        <w:t xml:space="preserve">Statistical Significance for Genome-Wide Studies</w:t>
      </w:r>
      <w:r>
        <w:t xml:space="preserve">”</w:t>
      </w:r>
      <w:r>
        <w:t xml:space="preserve"> </w:t>
      </w:r>
      <w:r>
        <w:t xml:space="preserve">provides a gentle introduction to multiple testing, even for readers not familiar with molecular biology.</w:t>
      </w:r>
    </w:p>
    <w:p>
      <w:pPr>
        <w:numPr>
          <w:ilvl w:val="0"/>
          <w:numId w:val="1014"/>
        </w:numPr>
        <w:pStyle w:val="Compact"/>
      </w:pPr>
      <w:hyperlink r:id="rId155">
        <w:r>
          <w:rPr>
            <w:rStyle w:val="Hyperlink"/>
          </w:rPr>
          <w:t xml:space="preserve">Multiple testing procedures with applications to genomics</w:t>
        </w:r>
      </w:hyperlink>
    </w:p>
    <w:p>
      <w:pPr>
        <w:numPr>
          <w:ilvl w:val="0"/>
          <w:numId w:val="1014"/>
        </w:numPr>
        <w:pStyle w:val="Compact"/>
      </w:pPr>
      <w:hyperlink r:id="rId156">
        <w:r>
          <w:rPr>
            <w:rStyle w:val="Hyperlink"/>
          </w:rPr>
          <w:t xml:space="preserve">Statistical significance for genome-wide studies</w:t>
        </w:r>
      </w:hyperlink>
    </w:p>
    <w:p>
      <w:pPr>
        <w:numPr>
          <w:ilvl w:val="0"/>
          <w:numId w:val="1014"/>
        </w:numPr>
        <w:pStyle w:val="Compact"/>
      </w:pPr>
      <w:hyperlink r:id="rId157">
        <w:r>
          <w:rPr>
            <w:rStyle w:val="Hyperlink"/>
          </w:rPr>
          <w:t xml:space="preserve">Introduction to multiple testing</w:t>
        </w:r>
      </w:hyperlink>
    </w:p>
    <w:p>
      <w:pPr>
        <w:pStyle w:val="FirstParagraph"/>
      </w:pPr>
      <w:r>
        <w:t xml:space="preserve">Lastly, if you’re interested in delving deeper into multiple testing, We recommend a comprehensive introduction that covers the basics in more depth. It serves as a valuable resource for expanding your understanding of this topic.</w:t>
      </w:r>
      <w:r>
        <w:t xml:space="preserve"> </w:t>
      </w:r>
      <w:r>
        <w:t xml:space="preserve">## Resampling</w:t>
      </w:r>
      <w:r>
        <w:t xml:space="preserve"> </w:t>
      </w:r>
      <w:r>
        <w:t xml:space="preserve">Resampling-based procedures offer a means to perform statistical inferences based on the data at hand, without relying heavily on population parameters. Data scientists tend to favor resampling-based inferences due to their data-centric nature, scalability to large studies, and minimal reliance on assumptions. These procedures allow us to make robust inferences by leveraging the available data and are particularly valuable when dealing with complex or uncertain scenarios.</w:t>
      </w:r>
      <w:r>
        <w:t xml:space="preserve"> </w:t>
      </w:r>
      <w:r>
        <w:t xml:space="preserve">### Bootstrapping</w:t>
      </w:r>
      <w:r>
        <w:t xml:space="preserve"> </w:t>
      </w:r>
      <w:r>
        <w:t xml:space="preserve">The bootstrap method, invented by the renowned statistician Bradley Efron in 1979, is an incredibly valuable tool for constructing confidence intervals, estimating standard errors, and performing inferences that would otherwise be challenging. In fact, it is considered one of the most important procedures in the history of statistics, as it has liberated data analysts from relying heavily on complex mathematical calculations to obtain distributional properties of statistics.</w:t>
      </w:r>
    </w:p>
    <w:p>
      <w:pPr>
        <w:pStyle w:val="BodyText"/>
      </w:pPr>
      <w:r>
        <w:t xml:space="preserve">The term</w:t>
      </w:r>
      <w:r>
        <w:t xml:space="preserve"> </w:t>
      </w:r>
      <w:r>
        <w:t xml:space="preserve">“</w:t>
      </w:r>
      <w:r>
        <w:t xml:space="preserve">bootstrap</w:t>
      </w:r>
      <w:r>
        <w:t xml:space="preserve">”</w:t>
      </w:r>
      <w:r>
        <w:t xml:space="preserve"> </w:t>
      </w:r>
      <w:r>
        <w:t xml:space="preserve">originates from the phrase</w:t>
      </w:r>
      <w:r>
        <w:t xml:space="preserve"> </w:t>
      </w:r>
      <w:r>
        <w:t xml:space="preserve">“</w:t>
      </w:r>
      <w:r>
        <w:t xml:space="preserve">pulling oneself up by one’s bootstraps.</w:t>
      </w:r>
      <w:r>
        <w:t xml:space="preserve">”</w:t>
      </w:r>
      <w:r>
        <w:t xml:space="preserve"> </w:t>
      </w:r>
      <w:r>
        <w:t xml:space="preserve">The concept of the bootstrap procedure is not about achieving the physically impossible, but rather about leveraging available information to make reliable inferences. It enables us to directly connect the information we have with the inferences we make, making it a fitting name for this statistical technique. The bootstrap method is both important and liberating, aligning well with the spirit of data science.</w:t>
      </w:r>
      <w:r>
        <w:t xml:space="preserve"> </w:t>
      </w:r>
      <w:r>
        <w:t xml:space="preserve">Example: Imagine we want to evaluate the behavior of the average of 50 die rolls. The population distribution is depicted by the equally weighted bars representing the numbers one through six.</w:t>
      </w:r>
    </w:p>
    <w:p>
      <w:pPr>
        <w:pStyle w:val="CaptionedFigure"/>
      </w:pPr>
      <w:r>
        <w:drawing>
          <wp:inline>
            <wp:extent cx="5334000" cy="3000375"/>
            <wp:effectExtent b="0" l="0" r="0" t="0"/>
            <wp:docPr descr="Figure 1.14: Die roll" title="" id="1" name="Picture"/>
            <a:graphic>
              <a:graphicData uri="http://schemas.openxmlformats.org/drawingml/2006/picture">
                <pic:pic>
                  <pic:nvPicPr>
                    <pic:cNvPr descr="resources/images/week_04_files/figure-docx//1U1PiqeXG4XoKmg8hRFJqE1OFDOJfificBz1jLeDunHo_g257d7b8e795_0_187.png" id="0" name="Picture"/>
                    <pic:cNvPicPr>
                      <a:picLocks noChangeArrowheads="1" noChangeAspect="1"/>
                    </pic:cNvPicPr>
                  </pic:nvPicPr>
                  <pic:blipFill>
                    <a:blip r:embed="rId1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9" w:name="fig37"/>
      <w:r>
        <w:t xml:space="preserve">Figure </w:t>
      </w:r>
      <w:fldSimple w:instr="SEQ Figure \* ARABIC ">
        <w:r>
          <w:t>37</w:t>
        </w:r>
      </w:fldSimple>
      <w:r>
        <w:t xml:space="preserve">:</w:t>
      </w:r>
      <w:r>
        <w:t xml:space="preserve"> </w:t>
      </w:r>
      <w:bookmarkEnd w:id="159"/>
      <w:r>
        <w:t xml:space="preserve">Figure 1.14: Die roll</w:t>
      </w:r>
    </w:p>
    <w:p>
      <w:pPr>
        <w:pStyle w:val="BodyText"/>
      </w:pPr>
      <w:r>
        <w:t xml:space="preserve">There are a couple of approaches we could take. One option is to mathematically derive the distribution of the average of 50 die rolls without resorting to simulation. Another approach is to roll the die 50 times, calculate the average, and repeat this process numerous times to obtain multiple averages. However, this method assumes that the true population distribution is one-sixth for each number. While it may be challenging to determine the probability of obtaining a value like 5.5 through calculations alone, rolling the die multiple times and averaging the results provides a practical and intuitive way to estimate it. For certain statistics like the average, we have some knowledge about their distribution, such as the centering around the population mean and the variance being equal to sigma squared divided by n. However, we will focus on the average initially to demonstrate how the bootstrap method extends to other statistics beyond the average.</w:t>
      </w:r>
    </w:p>
    <w:p>
      <w:pPr>
        <w:pStyle w:val="BodyText"/>
      </w:pPr>
      <w:r>
        <w:t xml:space="preserve">Consider a similar problem where we are uncertain about the fairness of the die generating our data. We don’t know the probabilities assigned to each number (one, two, three, four, five, or six). We only have a single sample of size 50, so we don’t have a distribution of averages from the true die that generated the data. On the left-hand side, you can see a histogram representing the occurrences of each number based on one sample realization from this unknown population.</w:t>
      </w:r>
    </w:p>
    <w:p>
      <w:pPr>
        <w:pStyle w:val="CaptionedFigure"/>
      </w:pPr>
      <w:r>
        <w:drawing>
          <wp:inline>
            <wp:extent cx="5334000" cy="3000375"/>
            <wp:effectExtent b="0" l="0" r="0" t="0"/>
            <wp:docPr descr="Figure 1.15: Die roll" title="" id="1" name="Picture"/>
            <a:graphic>
              <a:graphicData uri="http://schemas.openxmlformats.org/drawingml/2006/picture">
                <pic:pic>
                  <pic:nvPicPr>
                    <pic:cNvPr descr="resources/images/week_04_files/figure-docx//1U1PiqeXG4XoKmg8hRFJqE1OFDOJfificBz1jLeDunHo_g257d7b8e795_0_190.png" id="0" name="Picture"/>
                    <pic:cNvPicPr>
                      <a:picLocks noChangeArrowheads="1" noChangeAspect="1"/>
                    </pic:cNvPicPr>
                  </pic:nvPicPr>
                  <pic:blipFill>
                    <a:blip r:embed="rId16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1" w:name="fig38"/>
      <w:r>
        <w:t xml:space="preserve">Figure </w:t>
      </w:r>
      <w:fldSimple w:instr="SEQ Figure \* ARABIC ">
        <w:r>
          <w:t>38</w:t>
        </w:r>
      </w:fldSimple>
      <w:r>
        <w:t xml:space="preserve">:</w:t>
      </w:r>
      <w:r>
        <w:t xml:space="preserve"> </w:t>
      </w:r>
      <w:bookmarkEnd w:id="161"/>
      <w:r>
        <w:t xml:space="preserve">Figure 1.15: Die roll</w:t>
      </w:r>
    </w:p>
    <w:p>
      <w:pPr>
        <w:pStyle w:val="BodyText"/>
      </w:pPr>
      <w:r>
        <w:t xml:space="preserve">In this scenario, we cannot evaluate the behavior of averages of 50 die rolls from this population since we don’t know the population distribution or which die to roll from. Here’s where bootstrapping comes into play. Instead of sampling from the true distribution, we can sample repeatedly from our empirical distribution. We create collections of 50 die rolls using the probabilities estimated from our sample. In this case, we would sample from the blue bars, considering their respective probabilities, and repeat this process to obtain averages from these samples. By doing so, we can understand the distribution of averages, even though we only have one true average from the real population. Mechanically, the bootstrap procedure involves taking each observation (one, two, three, four, five, or six) and putting them into a bag. Then, we draw samples of size 50 from this bag with replacement, meaning the same data point might be selected multiple times. We calculate the average for each sample and repeat this process several times. The fundamental idea is to precisely replicate the simulation experiment we would have conducted if we had access to the true population die and used the observed distribution generated by the specific realization of 50 die rolls we obtained.</w:t>
      </w:r>
    </w:p>
    <w:p>
      <w:pPr>
        <w:pStyle w:val="BodyText"/>
      </w:pPr>
      <w:r>
        <w:t xml:space="preserve">This is the basic principle of bootstrapping: we utilize our observed data to construct an estimated population distribution. Then, we simulate from this estimated distribution to understand the distribution of a statistic we are interested in. In the upcoming examples, we will explore less contrived scenarios to illustrate the application of bootstrapping.</w:t>
      </w:r>
    </w:p>
    <w:p>
      <w:pPr>
        <w:pStyle w:val="BodyText"/>
      </w:pPr>
      <w:r>
        <w:t xml:space="preserve">Now, we will explore the data using the R programming language and specifically the</w:t>
      </w:r>
      <w:r>
        <w:t xml:space="preserve"> </w:t>
      </w:r>
      <w:r>
        <w:rPr>
          <w:rStyle w:val="VerbatimChar"/>
        </w:rPr>
        <w:t xml:space="preserve">father.son</w:t>
      </w:r>
      <w:r>
        <w:t xml:space="preserve"> </w:t>
      </w:r>
      <w:r>
        <w:t xml:space="preserve">dataset. To simplify the process, I will define the variable</w:t>
      </w:r>
      <w:r>
        <w:t xml:space="preserve"> </w:t>
      </w:r>
      <w:r>
        <w:rPr>
          <w:rStyle w:val="VerbatimChar"/>
        </w:rPr>
        <w:t xml:space="preserve">x</w:t>
      </w:r>
      <w:r>
        <w:t xml:space="preserve"> </w:t>
      </w:r>
      <w:r>
        <w:t xml:space="preserve">to represent the sons’ heights from the dataset. We’ll denote</w:t>
      </w:r>
      <w:r>
        <w:t xml:space="preserve"> </w:t>
      </w:r>
      <w:r>
        <w:rPr>
          <w:rStyle w:val="VerbatimChar"/>
        </w:rPr>
        <w:t xml:space="preserve">n</w:t>
      </w:r>
      <w:r>
        <w:t xml:space="preserve"> </w:t>
      </w:r>
      <w:r>
        <w:t xml:space="preserve">as the number of observations, and for our bootstrapping procedure, we will perform 10,000 bootstrap resamples.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resampledMedians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p>
    <w:p>
      <w:pPr>
        <w:pStyle w:val="FirstParagraph"/>
      </w:pPr>
      <w:r>
        <w:t xml:space="preserve">First, we will use the</w:t>
      </w:r>
      <w:r>
        <w:t xml:space="preserve"> </w:t>
      </w:r>
      <w:r>
        <w:rPr>
          <w:rStyle w:val="VerbatimChar"/>
        </w:rPr>
        <w:t xml:space="preserve">sample</w:t>
      </w:r>
      <w:r>
        <w:t xml:space="preserve"> </w:t>
      </w:r>
      <w:r>
        <w:t xml:space="preserve">command. When we specify</w:t>
      </w:r>
      <w:r>
        <w:t xml:space="preserve"> </w:t>
      </w:r>
      <w:r>
        <w:rPr>
          <w:rStyle w:val="VerbatimChar"/>
        </w:rPr>
        <w:t xml:space="preserve">sample(x, n, replace = TRUE)</w:t>
      </w:r>
      <w:r>
        <w:t xml:space="preserve">, it means that we draw a sample of size</w:t>
      </w:r>
      <w:r>
        <w:t xml:space="preserve"> </w:t>
      </w:r>
      <w:r>
        <w:rPr>
          <w:rStyle w:val="VerbatimChar"/>
        </w:rPr>
        <w:t xml:space="preserve">n</w:t>
      </w:r>
      <w:r>
        <w:t xml:space="preserve"> </w:t>
      </w:r>
      <w:r>
        <w:t xml:space="preserve">from the variable</w:t>
      </w:r>
      <w:r>
        <w:t xml:space="preserve"> </w:t>
      </w:r>
      <w:r>
        <w:rPr>
          <w:rStyle w:val="VerbatimChar"/>
        </w:rPr>
        <w:t xml:space="preserve">x</w:t>
      </w:r>
      <w:r>
        <w:t xml:space="preserve"> </w:t>
      </w:r>
      <w:r>
        <w:t xml:space="preserve">with replacement.</w:t>
      </w:r>
    </w:p>
    <w:p>
      <w:pPr>
        <w:pStyle w:val="CaptionedFigure"/>
      </w:pPr>
      <w:r>
        <w:drawing>
          <wp:inline>
            <wp:extent cx="5334000" cy="3000375"/>
            <wp:effectExtent b="0" l="0" r="0" t="0"/>
            <wp:docPr descr="Figure 4.1: Plot of the histogram of the resamples" title="" id="1" name="Picture"/>
            <a:graphic>
              <a:graphicData uri="http://schemas.openxmlformats.org/drawingml/2006/picture">
                <pic:pic>
                  <pic:nvPicPr>
                    <pic:cNvPr descr="resources/images/week_04_files/figure-docx//1U1PiqeXG4XoKmg8hRFJqE1OFDOJfificBz1jLeDunHo_g257d7b8e795_0_193.png" id="0" name="Picture"/>
                    <pic:cNvPicPr>
                      <a:picLocks noChangeArrowheads="1" noChangeAspect="1"/>
                    </pic:cNvPicPr>
                  </pic:nvPicPr>
                  <pic:blipFill>
                    <a:blip r:embed="rId16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3" w:name="fig39"/>
      <w:r>
        <w:t xml:space="preserve">Figure </w:t>
      </w:r>
      <w:fldSimple w:instr="SEQ Figure \* ARABIC ">
        <w:r>
          <w:t>39</w:t>
        </w:r>
      </w:fldSimple>
      <w:r>
        <w:t xml:space="preserve">:</w:t>
      </w:r>
      <w:r>
        <w:t xml:space="preserve"> </w:t>
      </w:r>
      <w:bookmarkEnd w:id="163"/>
      <w:r>
        <w:t xml:space="preserve">Figure 4.1: Plot of the histogram of the resamples</w:t>
      </w:r>
    </w:p>
    <w:p>
      <w:pPr>
        <w:pStyle w:val="BodyText"/>
      </w:pPr>
      <w:r>
        <w:t xml:space="preserve">In other words, each time we select an observation, we put it back into the pool before drawing the next one. This process simulates resampling from an empirical distribution defined by our data, where each observed data point has a probability of 1/n. This is known as the empirical distribution.</w:t>
      </w:r>
    </w:p>
    <w:p>
      <w:pPr>
        <w:pStyle w:val="BodyText"/>
      </w:pPr>
      <w:r>
        <w:t xml:space="preserve">Next, we arrange these resamples into a matrix with the number of bootstrap rows and the number of sample size columns. Each row of this matrix, called</w:t>
      </w:r>
      <w:r>
        <w:t xml:space="preserve"> </w:t>
      </w:r>
      <w:r>
        <w:t xml:space="preserve">“</w:t>
      </w:r>
      <w:r>
        <w:t xml:space="preserve">resamples,</w:t>
      </w:r>
      <w:r>
        <w:t xml:space="preserve">”</w:t>
      </w:r>
      <w:r>
        <w:t xml:space="preserve"> </w:t>
      </w:r>
      <w:r>
        <w:t xml:space="preserve">represents a completely resampled dataset. We take the original data and draw a sample of size</w:t>
      </w:r>
      <w:r>
        <w:t xml:space="preserve"> </w:t>
      </w:r>
      <w:r>
        <w:t xml:space="preserve">“</w:t>
      </w:r>
      <w:r>
        <w:t xml:space="preserve">n</w:t>
      </w:r>
      <w:r>
        <w:t xml:space="preserve">”</w:t>
      </w:r>
      <w:r>
        <w:t xml:space="preserve"> </w:t>
      </w:r>
      <w:r>
        <w:t xml:space="preserve">with replacement to create each resampled dataset. This is equivalent to regenerating a sample of size</w:t>
      </w:r>
      <w:r>
        <w:t xml:space="preserve"> </w:t>
      </w:r>
      <w:r>
        <w:t xml:space="preserve">“</w:t>
      </w:r>
      <w:r>
        <w:t xml:space="preserve">n</w:t>
      </w:r>
      <w:r>
        <w:t xml:space="preserve">”</w:t>
      </w:r>
      <w:r>
        <w:t xml:space="preserve"> </w:t>
      </w:r>
      <w:r>
        <w:t xml:space="preserve">from a distribution that assigns a probability of 1/n to each observed data point.</w:t>
      </w:r>
    </w:p>
    <w:p>
      <w:pPr>
        <w:pStyle w:val="BodyText"/>
      </w:pPr>
      <w:r>
        <w:t xml:space="preserve">Suppose we are interested in a specific statistic, such as the median. For each resampled dataset, we calculate the median using the</w:t>
      </w:r>
      <w:r>
        <w:t xml:space="preserve"> </w:t>
      </w:r>
      <w:r>
        <w:rPr>
          <w:rStyle w:val="VerbatimChar"/>
        </w:rPr>
        <w:t xml:space="preserve">apply</w:t>
      </w:r>
      <w:r>
        <w:t xml:space="preserve"> </w:t>
      </w:r>
      <w:r>
        <w:t xml:space="preserve">statement. The density estimate obtained from the resampled medians is visualized, with a vertical line representing the observed median. In this case, we have repeatedly drawn new datasets of the same length from the collection of sons’ heights, applying the median calculation each time. This process is repeated 10,000 times, resulting in a collection of medians. The density estimate provides an approximation of the distribution of medians based on our observed data when we lack knowledge of the actual population distribution. The median serves as a central quantity in bootstrapping.</w:t>
      </w:r>
    </w:p>
    <w:p>
      <w:pPr>
        <w:pStyle w:val="BodyText"/>
      </w:pPr>
      <w:r>
        <w:t xml:space="preserve">Using the resampled distribution, we can perform various calculations. For example, we can compute the standard deviation of this distribution to estimate the standard error of the median. Additionally, we can use quantiles to obtain confidence interval estimates. These are the types of analyses commonly performed using bootstrap resampled distributions.</w:t>
      </w:r>
    </w:p>
    <w:bookmarkStart w:id="166" w:name="notes-on-the-bootstrap"/>
    <w:p>
      <w:pPr>
        <w:pStyle w:val="Heading3"/>
      </w:pPr>
      <w:r>
        <w:rPr>
          <w:rStyle w:val="SectionNumber"/>
        </w:rPr>
        <w:t xml:space="preserve">4.2.1</w:t>
      </w:r>
      <w:r>
        <w:tab/>
      </w:r>
      <w:r>
        <w:t xml:space="preserve">Notes on the bootstrap</w:t>
      </w:r>
    </w:p>
    <w:p>
      <w:pPr>
        <w:pStyle w:val="FirstParagraph"/>
      </w:pPr>
      <w:r>
        <w:t xml:space="preserve">The bootstrap principle states that if you have a statistic that estimates a population parameter of interest, but you don’t know the sampling distribution of that statistic, you can use the distribution defined by the observed data to investigate and estimate the sampling distribution. While the bootstrap principle doesn’t necessarily require simulation, it is often easier and more practical to use simulation methods. For instance, if you want to determine the distribution of the average of 50 die rolls, it would be challenging to mathematically derive it precisely, making simulation a more feasible approach.</w:t>
      </w:r>
    </w:p>
    <w:p>
      <w:pPr>
        <w:pStyle w:val="BodyText"/>
      </w:pPr>
      <w:r>
        <w:t xml:space="preserve">In the context of bootstrapping, we will focus on a few aspects, such as creating confidence intervals and estimating standard errors. The field of bootstrapping offers a wealth of possibilities beyond what we will cover here.</w:t>
      </w:r>
    </w:p>
    <w:p>
      <w:pPr>
        <w:pStyle w:val="BodyText"/>
      </w:pPr>
      <w:r>
        <w:t xml:space="preserve">Let’s review the general procedure. You start with your observed data and simulate complete datasets by drawing from the observed data with replacement. This process is an approximation of drawing from the sampling distribution of the statistic of interest, as far as the observed data approximates the real population distribution. As a reminder, we calculate the statistic for each simulated dataset and then use these simulated statistics to define a confidence interval or compute the standard deviation of the distribution to estimate the standard error.</w:t>
      </w:r>
    </w:p>
    <w:p>
      <w:pPr>
        <w:pStyle w:val="BodyText"/>
      </w:pPr>
      <w:r>
        <w:t xml:space="preserve">Now, let’s dive into the bootstrap algorithm for calculating a confidence interval or the bootstrap standard error for the median based on a set of N observations. We begin with a vector of length N representing our data. The next step is to resample N observations with replacement from the observed data to create a resampled complete dataset. It’s crucial to sample with replacement to allow for the possibility of repeated observations in the resampled dataset. If we didn’t sample with replacement, we would essentially end up with a copy of the original dataset, albeit with a different order. In our example, we calculate the median for each resampled dataset. If you’re interested in a different statistic, you would simply compute that statistic for the simulated dataset. We repeat this resampling step B times, where B is the number of bootstrap resamples. It is advisable to choose a large value for B to minimize the Monte Carlo error, which refers to the error introduced by the approximation involved in using resampling. Ideally, we would know the exact bootstrap distribution without resorting to resampling, but in practice, we rely on Monte Carlo methods. Setting B to a sufficiently large value, such as 10,000 or more, ensures that the medians obtained from the resampling process are drawn approximately from the sampling distribution of the median based on N observations.</w:t>
      </w:r>
    </w:p>
    <w:p>
      <w:pPr>
        <w:pStyle w:val="BodyText"/>
      </w:pPr>
      <w:r>
        <w:t xml:space="preserve">The bootstrap procedure allows us to approximate the population distribution, which is often sufficient for our purposes. There is substantial theoretical evidence supporting the effectiveness of the bootstrap method. With bootstrap resamples, we can perform various analyses. First, it is common to visualize the distribution using density estimates or histograms. Additionally, we can calculate the standard deviation of the bootstrap resamples, providing an estimate of the standard error of the median. Moreover, by taking quantiles of the bootstrap resampled medians, such as the 2.5th and 97.5th percentiles, we can construct a bootstrap confidence interval for the median. This approach provides a straightforward way to develop a confidence interval without relying on complex statistical techniques.</w:t>
      </w:r>
    </w:p>
    <w:p>
      <w:pPr>
        <w:pStyle w:val="BodyText"/>
      </w:pPr>
      <w:r>
        <w:t xml:space="preserve">Now let’s go through a quick example code using the father-son data. We have a vector</w:t>
      </w:r>
      <w:r>
        <w:t xml:space="preserve"> </w:t>
      </w:r>
      <w:r>
        <w:rPr>
          <w:rStyle w:val="VerbatimChar"/>
        </w:rPr>
        <w:t xml:space="preserve">X</w:t>
      </w:r>
      <w:r>
        <w:t xml:space="preserve"> </w:t>
      </w:r>
      <w:r>
        <w:t xml:space="preserve">representing the sons’ heights,</w:t>
      </w:r>
      <w:r>
        <w:t xml:space="preserve"> </w:t>
      </w:r>
      <w:r>
        <w:rPr>
          <w:rStyle w:val="VerbatimChar"/>
        </w:rPr>
        <w:t xml:space="preserve">B</w:t>
      </w:r>
      <w:r>
        <w:t xml:space="preserve"> </w:t>
      </w:r>
      <w:r>
        <w:t xml:space="preserve">as the number of bootstrap resamples (set to 10,000), and</w:t>
      </w:r>
      <w:r>
        <w:t xml:space="preserve"> </w:t>
      </w:r>
      <w:r>
        <w:rPr>
          <w:rStyle w:val="VerbatimChar"/>
        </w:rPr>
        <w:t xml:space="preserve">N</w:t>
      </w:r>
      <w:r>
        <w:t xml:space="preserve"> </w:t>
      </w:r>
      <w:r>
        <w:t xml:space="preserve">as the length of</w:t>
      </w:r>
      <w:r>
        <w:t xml:space="preserve"> </w:t>
      </w:r>
      <w:r>
        <w:rPr>
          <w:rStyle w:val="VerbatimChar"/>
        </w:rPr>
        <w:t xml:space="preserve">X</w:t>
      </w:r>
      <w:r>
        <w:t xml:space="preserve">. To obtain complete resampled datasets, we use the</w:t>
      </w:r>
      <w:r>
        <w:t xml:space="preserve"> </w:t>
      </w:r>
      <w:r>
        <w:rPr>
          <w:rStyle w:val="VerbatimChar"/>
        </w:rPr>
        <w:t xml:space="preserve">sample</w:t>
      </w:r>
      <w:r>
        <w:t xml:space="preserve"> </w:t>
      </w:r>
      <w:r>
        <w:t xml:space="preserve">command in R with</w:t>
      </w:r>
      <w:r>
        <w:t xml:space="preserve"> </w:t>
      </w:r>
      <w:r>
        <w:rPr>
          <w:rStyle w:val="VerbatimChar"/>
        </w:rPr>
        <w:t xml:space="preserve">replace = TRUE</w:t>
      </w:r>
      <w:r>
        <w:t xml:space="preserve">, sampling</w:t>
      </w:r>
      <w:r>
        <w:t xml:space="preserve"> </w:t>
      </w:r>
      <w:r>
        <w:rPr>
          <w:rStyle w:val="VerbatimChar"/>
        </w:rPr>
        <w:t xml:space="preserve">N * B</w:t>
      </w:r>
      <w:r>
        <w:t xml:space="preserve"> </w:t>
      </w:r>
      <w:r>
        <w:t xml:space="preserve">elements from</w:t>
      </w:r>
      <w:r>
        <w:t xml:space="preserve"> </w:t>
      </w:r>
      <w:r>
        <w:rPr>
          <w:rStyle w:val="VerbatimChar"/>
        </w:rPr>
        <w:t xml:space="preserve">X</w:t>
      </w:r>
      <w:r>
        <w:t xml:space="preserve">. The resulting vector is then reshaped into a matrix with</w:t>
      </w:r>
      <w:r>
        <w:t xml:space="preserve"> </w:t>
      </w:r>
      <w:r>
        <w:rPr>
          <w:rStyle w:val="VerbatimChar"/>
        </w:rPr>
        <w:t xml:space="preserve">B</w:t>
      </w:r>
      <w:r>
        <w:t xml:space="preserve"> </w:t>
      </w:r>
      <w:r>
        <w:t xml:space="preserve">rows and</w:t>
      </w:r>
      <w:r>
        <w:t xml:space="preserve"> </w:t>
      </w:r>
      <w:r>
        <w:rPr>
          <w:rStyle w:val="VerbatimChar"/>
        </w:rPr>
        <w:t xml:space="preserve">N</w:t>
      </w:r>
      <w:r>
        <w:t xml:space="preserve"> </w:t>
      </w:r>
      <w:r>
        <w:t xml:space="preserve">columns, where each row represents a bootstrap resample. Next, we calculate the median for each row, and the standard deviation of these medians provides an estimate of the standard error of the median.</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r>
        <w:br/>
      </w:r>
      <w:r>
        <w:rPr>
          <w:rStyle w:val="FunctionTok"/>
        </w:rPr>
        <w:t xml:space="preserve">sd</w:t>
      </w:r>
      <w:r>
        <w:rPr>
          <w:rStyle w:val="NormalTok"/>
        </w:rPr>
        <w:t xml:space="preserve">(medians)</w:t>
      </w:r>
      <w:r>
        <w:br/>
      </w:r>
      <w:r>
        <w:rPr>
          <w:rStyle w:val="FunctionTok"/>
        </w:rPr>
        <w:t xml:space="preserve">quantile</w:t>
      </w:r>
      <w:r>
        <w:rPr>
          <w:rStyle w:val="NormalTok"/>
        </w:rPr>
        <w:t xml:space="preserve">(medians, </w:t>
      </w:r>
      <w:r>
        <w:rPr>
          <w:rStyle w:val="FunctionTok"/>
        </w:rPr>
        <w:t xml:space="preserve">c</w:t>
      </w:r>
      <w:r>
        <w:rPr>
          <w:rStyle w:val="NormalTok"/>
        </w:rPr>
        <w:t xml:space="preserve">(.</w:t>
      </w:r>
      <w:r>
        <w:rPr>
          <w:rStyle w:val="DecValTok"/>
        </w:rPr>
        <w:t xml:space="preserve">025</w:t>
      </w:r>
      <w:r>
        <w:rPr>
          <w:rStyle w:val="NormalTok"/>
        </w:rPr>
        <w:t xml:space="preserve">, .</w:t>
      </w:r>
      <w:r>
        <w:rPr>
          <w:rStyle w:val="DecValTok"/>
        </w:rPr>
        <w:t xml:space="preserve">975</w:t>
      </w:r>
      <w:r>
        <w:rPr>
          <w:rStyle w:val="NormalTok"/>
        </w:rPr>
        <w:t xml:space="preserve">))</w:t>
      </w:r>
    </w:p>
    <w:p>
      <w:pPr>
        <w:pStyle w:val="FirstParagraph"/>
      </w:pPr>
      <w:r>
        <w:t xml:space="preserve">For the construction of a confidence interval, we extract the vector of resampled medians and compute the quantiles. In this example, we take the 2.5th and 97.5th percentiles to obtain a 95% confidence interval. The histogram of the bootstrap resamples is plotted using</w:t>
      </w:r>
      <w:r>
        <w:t xml:space="preserve"> </w:t>
      </w:r>
      <w:r>
        <w:rPr>
          <w:rStyle w:val="VerbatimChar"/>
        </w:rPr>
        <w:t xml:space="preserve">ggplot</w:t>
      </w:r>
      <w:r>
        <w:t xml:space="preserve">, which takes a data frame as input. The resulting plot provides an estimate of the sampling distribution of the median based on the bootstrap resamples.</w:t>
      </w:r>
    </w:p>
    <w:p>
      <w:pPr>
        <w:pStyle w:val="CaptionedFigure"/>
      </w:pPr>
      <w:r>
        <w:drawing>
          <wp:inline>
            <wp:extent cx="5334000" cy="3000375"/>
            <wp:effectExtent b="0" l="0" r="0" t="0"/>
            <wp:docPr descr="Figure 4.2: Histogram of bootstrap resamples" title="" id="1" name="Picture"/>
            <a:graphic>
              <a:graphicData uri="http://schemas.openxmlformats.org/drawingml/2006/picture">
                <pic:pic>
                  <pic:nvPicPr>
                    <pic:cNvPr descr="resources/images/week_04_files/figure-docx//1U1PiqeXG4XoKmg8hRFJqE1OFDOJfificBz1jLeDunHo_g257d7b8e795_0_196.png" id="0" name="Picture"/>
                    <pic:cNvPicPr>
                      <a:picLocks noChangeArrowheads="1" noChangeAspect="1"/>
                    </pic:cNvPicPr>
                  </pic:nvPicPr>
                  <pic:blipFill>
                    <a:blip r:embed="rId1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5" w:name="fig40"/>
      <w:r>
        <w:t xml:space="preserve">Figure </w:t>
      </w:r>
      <w:fldSimple w:instr="SEQ Figure \* ARABIC ">
        <w:r>
          <w:t>40</w:t>
        </w:r>
      </w:fldSimple>
      <w:r>
        <w:t xml:space="preserve">:</w:t>
      </w:r>
      <w:r>
        <w:t xml:space="preserve"> </w:t>
      </w:r>
      <w:bookmarkEnd w:id="165"/>
      <w:r>
        <w:t xml:space="preserve">Figure 4.2: Histogram of bootstrap resamples</w:t>
      </w:r>
    </w:p>
    <w:p>
      <w:pPr>
        <w:pStyle w:val="BodyText"/>
      </w:pPr>
      <w:r>
        <w:t xml:space="preserve">It’s worth noting that the bootstrap procedure we discussed here is the non-parametric bootstrap. The confidence interval obtained by taking the percentiles can be improved upon by using the bias-corrected and accelerated (BCa) interval. This interval accounts for bias and is easy to implement using the bootstrap package in R. This introduction provides a basic understanding of the bootstrap method. It is an incredibly useful procedure with numerous variations and wide applicability. When dealing with specific scenarios such as time series, regression models, longitudinal or multilevel data, there are additional considerations and techniques to apply the bootstrap effectively.</w:t>
      </w:r>
    </w:p>
    <w:bookmarkEnd w:id="166"/>
    <w:bookmarkStart w:id="171" w:name="permutation-tests"/>
    <w:p>
      <w:pPr>
        <w:pStyle w:val="Heading3"/>
      </w:pPr>
      <w:r>
        <w:rPr>
          <w:rStyle w:val="SectionNumber"/>
        </w:rPr>
        <w:t xml:space="preserve">4.2.2</w:t>
      </w:r>
      <w:r>
        <w:tab/>
      </w:r>
      <w:r>
        <w:t xml:space="preserve">Permutation tests</w:t>
      </w:r>
    </w:p>
    <w:p>
      <w:pPr>
        <w:pStyle w:val="FirstParagraph"/>
      </w:pPr>
      <w:r>
        <w:t xml:space="preserve">We’ll conclude the class by discussing a highly valuable tool for data scientists known as permutation tests. These tests are particularly useful for group comparisons, so let’s start with an example to illustrate their application.</w:t>
      </w:r>
    </w:p>
    <w:p>
      <w:pPr>
        <w:pStyle w:val="CaptionedFigure"/>
      </w:pPr>
      <w:r>
        <w:drawing>
          <wp:inline>
            <wp:extent cx="5334000" cy="3000375"/>
            <wp:effectExtent b="0" l="0" r="0" t="0"/>
            <wp:docPr descr="Figure 2.3: Insect spray data" title="" id="1" name="Picture"/>
            <a:graphic>
              <a:graphicData uri="http://schemas.openxmlformats.org/drawingml/2006/picture">
                <pic:pic>
                  <pic:nvPicPr>
                    <pic:cNvPr descr="resources/images/week_04_files/figure-docx//1U1PiqeXG4XoKmg8hRFJqE1OFDOJfificBz1jLeDunHo_g257d7b8e795_0_206.png" id="0" name="Picture"/>
                    <pic:cNvPicPr>
                      <a:picLocks noChangeArrowheads="1" noChangeAspect="1"/>
                    </pic:cNvPicPr>
                  </pic:nvPicPr>
                  <pic:blipFill>
                    <a:blip r:embed="rId16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8" w:name="fig41"/>
      <w:r>
        <w:t xml:space="preserve">Figure </w:t>
      </w:r>
      <w:fldSimple w:instr="SEQ Figure \* ARABIC ">
        <w:r>
          <w:t>41</w:t>
        </w:r>
      </w:fldSimple>
      <w:r>
        <w:t xml:space="preserve">:</w:t>
      </w:r>
      <w:r>
        <w:t xml:space="preserve"> </w:t>
      </w:r>
      <w:bookmarkEnd w:id="168"/>
      <w:r>
        <w:t xml:space="preserve">Figure 2.3: Insect spray data</w:t>
      </w:r>
    </w:p>
    <w:p>
      <w:pPr>
        <w:pStyle w:val="BodyText"/>
      </w:pPr>
      <w:r>
        <w:t xml:space="preserve">In this study, researchers conducted experiments with batches of insects, applying different pesticides labeled as sprays. The number of dead insects in each batch was recorded for each spray. Let’s focus on comparing insect spray B with insect spray C. The null hypothesis states that the distributions of observations from each group are the same, implying that the specific labels of the counts are irrelevant. To operationalize this, we can imagine a data frame with counts in one column and spray group labels in another column. We would calculate a statistic such as the difference in the average number of insects killed between group B and group C. This observed test statistic represents the difference we observe in the data.</w:t>
      </w:r>
    </w:p>
    <w:p>
      <w:pPr>
        <w:pStyle w:val="BodyText"/>
      </w:pPr>
      <w:r>
        <w:t xml:space="preserve">Now, let’s consider permuting the group labels. We can randomly shuffle the vector of labels using a command like</w:t>
      </w:r>
      <w:r>
        <w:t xml:space="preserve"> </w:t>
      </w:r>
      <w:r>
        <w:rPr>
          <w:rStyle w:val="VerbatimChar"/>
        </w:rPr>
        <w:t xml:space="preserve">sample</w:t>
      </w:r>
      <w:r>
        <w:t xml:space="preserve"> </w:t>
      </w:r>
      <w:r>
        <w:t xml:space="preserve">in R. After permuting, we recalculate the test statistic for each permutation. You can choose any statistic you prefer, such as the mean difference in counts, the geometric means, or even a t-statistic. Rather than comparing the test statistic with a t-null distribution, we compare it to a permutation-based null distribution. To calculate a p-value, we determine the percentage of simulations in which the simulated statistic was more extreme, favoring the alternative hypothesis, compared to the observed statistic. In the case of a difference in means,</w:t>
      </w:r>
      <w:r>
        <w:t xml:space="preserve"> </w:t>
      </w:r>
      <w:r>
        <w:t xml:space="preserve">“</w:t>
      </w:r>
      <w:r>
        <w:t xml:space="preserve">more extreme</w:t>
      </w:r>
      <w:r>
        <w:t xml:space="preserve">”</w:t>
      </w:r>
      <w:r>
        <w:t xml:space="preserve"> </w:t>
      </w:r>
      <w:r>
        <w:t xml:space="preserve">would mean a greater difference in means in the direction of the alternative hypothesis. This process yields a permutation-based p-value.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type</w:t>
            </w:r>
          </w:p>
        </w:tc>
        <w:tc>
          <w:tcPr/>
          <w:p>
            <w:pPr>
              <w:pStyle w:val="Compact"/>
              <w:jc w:val="left"/>
            </w:pPr>
            <w:r>
              <w:t xml:space="preserve">Statistic</w:t>
            </w:r>
          </w:p>
        </w:tc>
        <w:tc>
          <w:tcPr/>
          <w:p>
            <w:pPr>
              <w:pStyle w:val="Compact"/>
              <w:jc w:val="left"/>
            </w:pPr>
            <w:r>
              <w:t xml:space="preserve">Test name</w:t>
            </w:r>
          </w:p>
        </w:tc>
      </w:tr>
      <w:tr>
        <w:tc>
          <w:tcPr/>
          <w:p>
            <w:pPr>
              <w:pStyle w:val="Compact"/>
              <w:jc w:val="left"/>
            </w:pPr>
            <w:r>
              <w:t xml:space="preserve">Ranks</w:t>
            </w:r>
          </w:p>
        </w:tc>
        <w:tc>
          <w:tcPr/>
          <w:p>
            <w:pPr>
              <w:pStyle w:val="Compact"/>
              <w:jc w:val="left"/>
            </w:pPr>
            <w:r>
              <w:t xml:space="preserve">rank sum</w:t>
            </w:r>
          </w:p>
        </w:tc>
        <w:tc>
          <w:tcPr/>
          <w:p>
            <w:pPr>
              <w:pStyle w:val="Compact"/>
              <w:jc w:val="left"/>
            </w:pPr>
            <w:r>
              <w:t xml:space="preserve">rank sum test</w:t>
            </w:r>
          </w:p>
        </w:tc>
      </w:tr>
      <w:tr>
        <w:tc>
          <w:tcPr/>
          <w:p>
            <w:pPr>
              <w:pStyle w:val="Compact"/>
              <w:jc w:val="left"/>
            </w:pPr>
            <w:r>
              <w:t xml:space="preserve">Binary</w:t>
            </w:r>
          </w:p>
        </w:tc>
        <w:tc>
          <w:tcPr/>
          <w:p>
            <w:pPr>
              <w:pStyle w:val="Compact"/>
              <w:jc w:val="left"/>
            </w:pPr>
            <w:r>
              <w:t xml:space="preserve">hypergeometric prob</w:t>
            </w:r>
          </w:p>
        </w:tc>
        <w:tc>
          <w:tcPr/>
          <w:p>
            <w:pPr>
              <w:pStyle w:val="Compact"/>
              <w:jc w:val="left"/>
            </w:pPr>
            <w:r>
              <w:t xml:space="preserve">Fisher’s exact test</w:t>
            </w:r>
          </w:p>
        </w:tc>
      </w:tr>
      <w:tr>
        <w:tc>
          <w:tcPr/>
          <w:p>
            <w:pPr>
              <w:pStyle w:val="Compact"/>
              <w:jc w:val="left"/>
            </w:pPr>
            <w:r>
              <w:t xml:space="preserve">Raw data</w:t>
            </w:r>
          </w:p>
        </w:tc>
        <w:tc>
          <w:tcPr/>
          <w:p>
            <w:pPr>
              <w:pStyle w:val="Compact"/>
            </w:pPr>
          </w:p>
        </w:tc>
        <w:tc>
          <w:tcPr/>
          <w:p>
            <w:pPr>
              <w:pStyle w:val="Compact"/>
              <w:jc w:val="left"/>
            </w:pPr>
            <w:r>
              <w:t xml:space="preserve">ordinary permutation test</w:t>
            </w:r>
          </w:p>
        </w:tc>
      </w:tr>
    </w:tbl>
    <w:p>
      <w:pPr>
        <w:pStyle w:val="BodyText"/>
      </w:pPr>
      <w:r>
        <w:t xml:space="preserve">Permutation tests are powerful and have been reinvented in various settings. For example, the rank sum test, a well-known test statistic, is a permutation test where the data is replaced by ranks instead of the original raw values. Fisher’s exact test, which you may have heard of, is another permutation-based test in which the data is binary, and a specific test statistic is employed. If you use the raw data directly, you are essentially conducting an ordinary permutation test. It’s worth mentioning that randomization tests exist as a separate entity, specifically when group labels are explicitly randomized. In our insect spray example, batches could have had the sprays randomized to them, making it a randomized test.</w:t>
      </w:r>
    </w:p>
    <w:p>
      <w:pPr>
        <w:pStyle w:val="BodyText"/>
      </w:pPr>
      <w:r>
        <w:t xml:space="preserve">Permutation tests have broad applicability and are a powerful tool in the data scientist’s toolkit. Operationally, a randomization test follows a similar procedure to a permutation test. However, the conclusions drawn from a randomization test may be stronger, and the interpretation of the results can differ slightly. It’s worth noting that permutation strategies can also be employed in regression. In this case, you would permute a regressor, providing a different approach to obtaining a null distribution compared to the normal distributions covered in regression classes.</w:t>
      </w:r>
    </w:p>
    <w:p>
      <w:pPr>
        <w:pStyle w:val="BodyText"/>
      </w:pPr>
      <w:r>
        <w:t xml:space="preserve">Permutation tests are particularly effective in multivariate settings, as they allow for the calculation of maximum statistics that control family-wise error rates. While we won’t delve deeply into these topics, our aim is to guide you through a simple permutation test so that you can grasp the fundamental ideas. Let’s proceed with an example to illustrate how to conduct a permutation test.</w:t>
      </w:r>
    </w:p>
    <w:p>
      <w:pPr>
        <w:pStyle w:val="BodyText"/>
      </w:pPr>
      <w:r>
        <w:t xml:space="preserve">To begin, let’s subset the data to focus on InsectSprays B and C. Our outcome variable, y, represents the count of dead insects, while the group variable represents the spray or pesticide labels. We align the y and group vectors accordingly, ensuring each element corresponds to the same batch. Our test statistic is the average difference in the mean number of dead insects between groups B and C across batches. The observed test statistic is obtained by applying the test statistic function to our outcome and group vectors, which are correctly aligned.</w:t>
      </w:r>
    </w:p>
    <w:p>
      <w:pPr>
        <w:pStyle w:val="SourceCode"/>
      </w:pPr>
      <w:r>
        <w:rPr>
          <w:rStyle w:val="NormalTok"/>
        </w:rPr>
        <w:t xml:space="preserve">subdata </w:t>
      </w:r>
      <w:r>
        <w:rPr>
          <w:rStyle w:val="OtherTok"/>
        </w:rPr>
        <w:t xml:space="preserve">&lt;-</w:t>
      </w:r>
      <w:r>
        <w:rPr>
          <w:rStyle w:val="NormalTok"/>
        </w:rPr>
        <w:t xml:space="preserve"> InsectSprays[InsectSprays</w:t>
      </w:r>
      <w:r>
        <w:rPr>
          <w:rStyle w:val="SpecialCharTok"/>
        </w:rPr>
        <w:t xml:space="preserve">$</w:t>
      </w:r>
      <w:r>
        <w:rPr>
          <w:rStyle w:val="NormalTok"/>
        </w:rPr>
        <w:t xml:space="preserve">spray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y </w:t>
      </w:r>
      <w:r>
        <w:rPr>
          <w:rStyle w:val="OtherTok"/>
        </w:rPr>
        <w:t xml:space="preserve">&lt;-</w:t>
      </w:r>
      <w:r>
        <w:rPr>
          <w:rStyle w:val="NormalTok"/>
        </w:rPr>
        <w:t xml:space="preserve"> subdata</w:t>
      </w:r>
      <w:r>
        <w:rPr>
          <w:rStyle w:val="SpecialCharTok"/>
        </w:rPr>
        <w:t xml:space="preserve">$</w:t>
      </w:r>
      <w:r>
        <w:rPr>
          <w:rStyle w:val="NormalTok"/>
        </w:rPr>
        <w:t xml:space="preserve">count</w:t>
      </w:r>
      <w:r>
        <w:br/>
      </w:r>
      <w:r>
        <w:rPr>
          <w:rStyle w:val="NormalTok"/>
        </w:rPr>
        <w:t xml:space="preserve">group </w:t>
      </w:r>
      <w:r>
        <w:rPr>
          <w:rStyle w:val="OtherTok"/>
        </w:rPr>
        <w:t xml:space="preserve">&lt;-</w:t>
      </w:r>
      <w:r>
        <w:rPr>
          <w:rStyle w:val="NormalTok"/>
        </w:rPr>
        <w:t xml:space="preserve"> </w:t>
      </w:r>
      <w:r>
        <w:rPr>
          <w:rStyle w:val="FunctionTok"/>
        </w:rPr>
        <w:t xml:space="preserve">as.character</w:t>
      </w:r>
      <w:r>
        <w:rPr>
          <w:rStyle w:val="NormalTok"/>
        </w:rPr>
        <w:t xml:space="preserve">(subdata</w:t>
      </w:r>
      <w:r>
        <w:rPr>
          <w:rStyle w:val="SpecialCharTok"/>
        </w:rPr>
        <w:t xml:space="preserve">$</w:t>
      </w:r>
      <w:r>
        <w:rPr>
          <w:rStyle w:val="NormalTok"/>
        </w:rPr>
        <w:t xml:space="preserve">spray)</w:t>
      </w:r>
      <w:r>
        <w:br/>
      </w:r>
      <w:r>
        <w:rPr>
          <w:rStyle w:val="NormalTok"/>
        </w:rPr>
        <w:t xml:space="preserve">testStat </w:t>
      </w:r>
      <w:r>
        <w:rPr>
          <w:rStyle w:val="OtherTok"/>
        </w:rPr>
        <w:t xml:space="preserve">&lt;-</w:t>
      </w:r>
      <w:r>
        <w:rPr>
          <w:rStyle w:val="NormalTok"/>
        </w:rPr>
        <w:t xml:space="preserve"> </w:t>
      </w:r>
      <w:r>
        <w:rPr>
          <w:rStyle w:val="ControlFlowTok"/>
        </w:rPr>
        <w:t xml:space="preserve">function</w:t>
      </w:r>
      <w:r>
        <w:rPr>
          <w:rStyle w:val="NormalTok"/>
        </w:rPr>
        <w:t xml:space="preserve">(w, g)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observedStat </w:t>
      </w:r>
      <w:r>
        <w:rPr>
          <w:rStyle w:val="OtherTok"/>
        </w:rPr>
        <w:t xml:space="preserve">&lt;-</w:t>
      </w:r>
      <w:r>
        <w:rPr>
          <w:rStyle w:val="NormalTok"/>
        </w:rPr>
        <w:t xml:space="preserve"> </w:t>
      </w:r>
      <w:r>
        <w:rPr>
          <w:rStyle w:val="FunctionTok"/>
        </w:rPr>
        <w:t xml:space="preserve">testStat</w:t>
      </w:r>
      <w:r>
        <w:rPr>
          <w:rStyle w:val="NormalTok"/>
        </w:rPr>
        <w:t xml:space="preserve">(y, group)</w:t>
      </w:r>
      <w:r>
        <w:br/>
      </w:r>
      <w:r>
        <w:rPr>
          <w:rStyle w:val="NormalTok"/>
        </w:rPr>
        <w:t xml:space="preserve">permutations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rPr>
          <w:rStyle w:val="ControlFlowTok"/>
        </w:rPr>
        <w:t xml:space="preserve">function</w:t>
      </w:r>
      <w:r>
        <w:rPr>
          <w:rStyle w:val="NormalTok"/>
        </w:rPr>
        <w:t xml:space="preserve">(i) </w:t>
      </w:r>
      <w:r>
        <w:rPr>
          <w:rStyle w:val="FunctionTok"/>
        </w:rPr>
        <w:t xml:space="preserve">testStat</w:t>
      </w:r>
      <w:r>
        <w:rPr>
          <w:rStyle w:val="NormalTok"/>
        </w:rPr>
        <w:t xml:space="preserve">(y, </w:t>
      </w:r>
      <w:r>
        <w:rPr>
          <w:rStyle w:val="FunctionTok"/>
        </w:rPr>
        <w:t xml:space="preserve">sample</w:t>
      </w:r>
      <w:r>
        <w:rPr>
          <w:rStyle w:val="NormalTok"/>
        </w:rPr>
        <w:t xml:space="preserve">(group)))</w:t>
      </w:r>
      <w:r>
        <w:br/>
      </w:r>
      <w:r>
        <w:rPr>
          <w:rStyle w:val="NormalTok"/>
        </w:rPr>
        <w:t xml:space="preserve">observedStat</w:t>
      </w:r>
      <w:r>
        <w:br/>
      </w:r>
      <w:r>
        <w:rPr>
          <w:rStyle w:val="FunctionTok"/>
        </w:rPr>
        <w:t xml:space="preserve">mean</w:t>
      </w:r>
      <w:r>
        <w:rPr>
          <w:rStyle w:val="NormalTok"/>
        </w:rPr>
        <w:t xml:space="preserve">(permutations </w:t>
      </w:r>
      <w:r>
        <w:rPr>
          <w:rStyle w:val="SpecialCharTok"/>
        </w:rPr>
        <w:t xml:space="preserve">&gt;</w:t>
      </w:r>
      <w:r>
        <w:rPr>
          <w:rStyle w:val="NormalTok"/>
        </w:rPr>
        <w:t xml:space="preserve"> observedStat)</w:t>
      </w:r>
    </w:p>
    <w:p>
      <w:pPr>
        <w:pStyle w:val="FirstParagraph"/>
      </w:pPr>
      <w:r>
        <w:t xml:space="preserve">Next, we break the alignment by permuting the group labels. We use the</w:t>
      </w:r>
      <w:r>
        <w:t xml:space="preserve"> </w:t>
      </w:r>
      <w:r>
        <w:rPr>
          <w:rStyle w:val="VerbatimChar"/>
        </w:rPr>
        <w:t xml:space="preserve">sample</w:t>
      </w:r>
      <w:r>
        <w:t xml:space="preserve"> </w:t>
      </w:r>
      <w:r>
        <w:t xml:space="preserve">function to randomly permute the group labels, generating 10,000 test statistics where the association between y and group is disrupted due to the permuted labels. This process is performed under the null hypothesis that the group labels are unrelated to the outcome. The observed statistic of 13.25 represents the average count of dead insects for group B minus the count for group C, suggesting an average excess of 13 dead insects per batch for group B compared to group C.</w:t>
      </w:r>
    </w:p>
    <w:p>
      <w:pPr>
        <w:pStyle w:val="BodyText"/>
      </w:pPr>
      <w:r>
        <w:t xml:space="preserve">We calculate the percentage of permuted test statistics that are larger or more extreme in favor of the alternative hypothesis compared to the observed statistic. In this particular dataset, we find that the percentage is zero, indicating that across 10,000 permutations, we couldn’t find a configuration of group labels that resulted in a more extreme test statistic than the observed one. Formally, the p-value is very small, close to zero, leading us to reject the null hypothesis for any reasonable significance level (</w:t>
      </w:r>
      <m:oMath>
        <m:r>
          <m:t>α</m:t>
        </m:r>
      </m:oMath>
      <w:r>
        <w:t xml:space="preserve">). It’s worth mentioning that the p-value is not exactly zero because we can consider at least one permutation that yields a test statistic as large as the observed one, namely the permutation that restores our original data. However, this minor detail is inconsequential when comparing the p-value to a standard critical value like 5%.</w:t>
      </w:r>
    </w:p>
    <w:p>
      <w:pPr>
        <w:pStyle w:val="CaptionedFigure"/>
      </w:pPr>
      <w:r>
        <w:drawing>
          <wp:inline>
            <wp:extent cx="5334000" cy="3000375"/>
            <wp:effectExtent b="0" l="0" r="0" t="0"/>
            <wp:docPr descr="Figure 2.4: Histogram of bootstrap resamples" title="" id="1" name="Picture"/>
            <a:graphic>
              <a:graphicData uri="http://schemas.openxmlformats.org/drawingml/2006/picture">
                <pic:pic>
                  <pic:nvPicPr>
                    <pic:cNvPr descr="resources/images/week_04_files/figure-docx//1U1PiqeXG4XoKmg8hRFJqE1OFDOJfificBz1jLeDunHo_g257d7b8e795_0_209.png" id="0" name="Picture"/>
                    <pic:cNvPicPr>
                      <a:picLocks noChangeArrowheads="1" noChangeAspect="1"/>
                    </pic:cNvPicPr>
                  </pic:nvPicPr>
                  <pic:blipFill>
                    <a:blip r:embed="rId16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70" w:name="fig42"/>
      <w:r>
        <w:t xml:space="preserve">Figure </w:t>
      </w:r>
      <w:fldSimple w:instr="SEQ Figure \* ARABIC ">
        <w:r>
          <w:t>42</w:t>
        </w:r>
      </w:fldSimple>
      <w:r>
        <w:t xml:space="preserve">:</w:t>
      </w:r>
      <w:r>
        <w:t xml:space="preserve"> </w:t>
      </w:r>
      <w:bookmarkEnd w:id="170"/>
      <w:r>
        <w:t xml:space="preserve">Figure 2.4: Histogram of bootstrap resamples</w:t>
      </w:r>
    </w:p>
    <w:p>
      <w:pPr>
        <w:pStyle w:val="BodyText"/>
      </w:pPr>
      <w:r>
        <w:t xml:space="preserve">In the graph, we display the null distribution generated by our permutations. This distribution plays a similar role to the t-distribution or standard normal distribution in hypothesis testing, where we assume the data is normal or appeal to the central limit theorem. In this case, the null distribution is centered at zero and ranges from -10 to +10. The vertical line represents the observed statistic, which lies far in the tail of the null distribution, suggesting that the null distribution is likely not the true distribution and that group B is indeed substantially different from group C. The histogram provides a visual representation of this observation, and we can now quantify it with a p-value and perform a formal hypothesis test.</w:t>
      </w:r>
    </w:p>
    <w:p>
      <w:pPr>
        <w:pStyle w:val="BodyText"/>
      </w:pPr>
      <w:r>
        <w:t xml:space="preserve">Whether it’s in bootstrapping, where the focus is on the sampling distribution of a statistic, or in permutation testing, where we base formal inferences on the exchangeability of group labels, it is crucial to examine histograms or density estimates of the resampled distributions. These visualizations provide valuable insights into the behavior of the resampling procedure.</w:t>
      </w:r>
    </w:p>
    <w:bookmarkEnd w:id="171"/>
    <w:bookmarkEnd w:id="172"/>
    <w:bookmarkStart w:id="175" w:name="course-project"/>
    <w:p>
      <w:pPr>
        <w:pStyle w:val="Heading2"/>
      </w:pPr>
      <w:r>
        <w:rPr>
          <w:rStyle w:val="SectionNumber"/>
        </w:rPr>
        <w:t xml:space="preserve">4.3</w:t>
      </w:r>
      <w:r>
        <w:tab/>
      </w:r>
      <w:r>
        <w:t xml:space="preserve">Course project</w:t>
      </w:r>
    </w:p>
    <w:bookmarkStart w:id="173" w:name="part-1-simulation-exercise-instructions"/>
    <w:p>
      <w:pPr>
        <w:pStyle w:val="Heading3"/>
      </w:pPr>
      <w:r>
        <w:rPr>
          <w:rStyle w:val="SectionNumber"/>
        </w:rPr>
        <w:t xml:space="preserve">4.3.1</w:t>
      </w:r>
      <w:r>
        <w:tab/>
      </w:r>
      <w:r>
        <w:t xml:space="preserve">Part 1: Simulation Exercise Instructions</w:t>
      </w:r>
    </w:p>
    <w:p>
      <w:pPr>
        <w:pStyle w:val="FirstParagraph"/>
      </w:pPr>
      <w:r>
        <w:t xml:space="preserve">In this project you will investigate the exponential distribution in R and compare it with the Central Limit Theorem. The exponential distribution can be simulated in R with</w:t>
      </w:r>
      <w:r>
        <w:t xml:space="preserve"> </w:t>
      </w:r>
      <w:r>
        <w:rPr>
          <w:rStyle w:val="VerbatimChar"/>
        </w:rPr>
        <w:t xml:space="preserve">rexp(n, lambda)</w:t>
      </w:r>
      <w:r>
        <w:t xml:space="preserve"> </w:t>
      </w:r>
      <w:r>
        <w:t xml:space="preserve">where lambda is the rate parameter. The mean of exponential distribution is 1/lambda and the standard deviation is also 1/lambda. Set lambda = 0.2 for all of the simulations. You will investigate the distribution of averages of 40 exponentials. Note that you will need to do a thousand simulations.</w:t>
      </w:r>
    </w:p>
    <w:p>
      <w:pPr>
        <w:pStyle w:val="BodyText"/>
      </w:pPr>
      <w:r>
        <w:t xml:space="preserve">Illustrate via simulation and associated explanatory text the properties of the distribution of the mean of 40 exponentials. You should:</w:t>
      </w:r>
    </w:p>
    <w:p>
      <w:pPr>
        <w:numPr>
          <w:ilvl w:val="0"/>
          <w:numId w:val="1015"/>
        </w:numPr>
        <w:pStyle w:val="Compact"/>
      </w:pPr>
      <w:r>
        <w:t xml:space="preserve">Show the sample mean and compare it to the theoretical mean of the distribution.</w:t>
      </w:r>
    </w:p>
    <w:p>
      <w:pPr>
        <w:numPr>
          <w:ilvl w:val="0"/>
          <w:numId w:val="1015"/>
        </w:numPr>
        <w:pStyle w:val="Compact"/>
      </w:pPr>
      <w:r>
        <w:t xml:space="preserve">Show how variable the sample is (via variance) and compare it to the theoretical variance of the distribution.</w:t>
      </w:r>
    </w:p>
    <w:p>
      <w:pPr>
        <w:numPr>
          <w:ilvl w:val="0"/>
          <w:numId w:val="1015"/>
        </w:numPr>
        <w:pStyle w:val="Compact"/>
      </w:pPr>
      <w:r>
        <w:t xml:space="preserve">Show that the distribution is approximately normal.</w:t>
      </w:r>
    </w:p>
    <w:p>
      <w:pPr>
        <w:pStyle w:val="FirstParagraph"/>
      </w:pPr>
      <w:r>
        <w:t xml:space="preserve">In point 3, focus on the difference between the distribution of a large collection of random exponentials and the distribution of a large collection of averages of 40 exponentials.</w:t>
      </w:r>
    </w:p>
    <w:p>
      <w:pPr>
        <w:pStyle w:val="BodyText"/>
      </w:pPr>
      <w:r>
        <w:t xml:space="preserve">As a motivating example, compare the distribution of 1000 random uniforms</w:t>
      </w:r>
    </w:p>
    <w:p>
      <w:pPr>
        <w:pStyle w:val="SourceCode"/>
      </w:pPr>
      <w:r>
        <w:rPr>
          <w:rStyle w:val="FunctionTok"/>
        </w:rPr>
        <w:t xml:space="preserve">hist</w:t>
      </w:r>
      <w:r>
        <w:rPr>
          <w:rStyle w:val="NormalTok"/>
        </w:rPr>
        <w:t xml:space="preserve">(</w:t>
      </w:r>
      <w:r>
        <w:rPr>
          <w:rStyle w:val="FunctionTok"/>
        </w:rPr>
        <w:t xml:space="preserve">runif</w:t>
      </w:r>
      <w:r>
        <w:rPr>
          <w:rStyle w:val="NormalTok"/>
        </w:rPr>
        <w:t xml:space="preserve">(</w:t>
      </w:r>
      <w:r>
        <w:rPr>
          <w:rStyle w:val="DecValTok"/>
        </w:rPr>
        <w:t xml:space="preserve">1000</w:t>
      </w:r>
      <w:r>
        <w:rPr>
          <w:rStyle w:val="NormalTok"/>
        </w:rPr>
        <w:t xml:space="preserve">))</w:t>
      </w:r>
    </w:p>
    <w:p>
      <w:pPr>
        <w:pStyle w:val="FirstParagraph"/>
      </w:pPr>
      <w:r>
        <w:t xml:space="preserve">and the distribution of 1000 averages of 40 random uniforms</w:t>
      </w:r>
    </w:p>
    <w:p>
      <w:pPr>
        <w:pStyle w:val="SourceCode"/>
      </w:pPr>
      <w:r>
        <w:rPr>
          <w:rStyle w:val="NormalTok"/>
        </w:rPr>
        <w:t xml:space="preserve">mns </w:t>
      </w:r>
      <w:r>
        <w:rPr>
          <w:rStyle w:val="OtherTok"/>
        </w:rPr>
        <w:t xml:space="preserve">=</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w:t>
      </w:r>
      <w:r>
        <w:rPr>
          <w:rStyle w:val="NormalTok"/>
        </w:rPr>
        <w:t xml:space="preserve">) mns </w:t>
      </w:r>
      <w:r>
        <w:rPr>
          <w:rStyle w:val="OtherTok"/>
        </w:rPr>
        <w:t xml:space="preserve">=</w:t>
      </w:r>
      <w:r>
        <w:rPr>
          <w:rStyle w:val="NormalTok"/>
        </w:rPr>
        <w:t xml:space="preserve"> </w:t>
      </w:r>
      <w:r>
        <w:rPr>
          <w:rStyle w:val="FunctionTok"/>
        </w:rPr>
        <w:t xml:space="preserve">c</w:t>
      </w:r>
      <w:r>
        <w:rPr>
          <w:rStyle w:val="NormalTok"/>
        </w:rPr>
        <w:t xml:space="preserve">(mns, </w:t>
      </w:r>
      <w:r>
        <w:rPr>
          <w:rStyle w:val="FunctionTok"/>
        </w:rPr>
        <w:t xml:space="preserve">mean</w:t>
      </w:r>
      <w:r>
        <w:rPr>
          <w:rStyle w:val="NormalTok"/>
        </w:rPr>
        <w:t xml:space="preserve">(</w:t>
      </w:r>
      <w:r>
        <w:rPr>
          <w:rStyle w:val="FunctionTok"/>
        </w:rPr>
        <w:t xml:space="preserve">runif</w:t>
      </w:r>
      <w:r>
        <w:rPr>
          <w:rStyle w:val="NormalTok"/>
        </w:rPr>
        <w:t xml:space="preserve">(</w:t>
      </w:r>
      <w:r>
        <w:rPr>
          <w:rStyle w:val="DecValTok"/>
        </w:rPr>
        <w:t xml:space="preserve">40</w:t>
      </w:r>
      <w:r>
        <w:rPr>
          <w:rStyle w:val="NormalTok"/>
        </w:rPr>
        <w:t xml:space="preserve">)))</w:t>
      </w:r>
      <w:r>
        <w:br/>
      </w:r>
      <w:r>
        <w:rPr>
          <w:rStyle w:val="FunctionTok"/>
        </w:rPr>
        <w:t xml:space="preserve">hist</w:t>
      </w:r>
      <w:r>
        <w:rPr>
          <w:rStyle w:val="NormalTok"/>
        </w:rPr>
        <w:t xml:space="preserve">(mns)</w:t>
      </w:r>
    </w:p>
    <w:p>
      <w:pPr>
        <w:pStyle w:val="FirstParagraph"/>
      </w:pPr>
      <w:r>
        <w:t xml:space="preserve">This distribution looks far more Gaussian than the original uniform distribution!</w:t>
      </w:r>
      <w:r>
        <w:t xml:space="preserve"> </w:t>
      </w:r>
      <w:r>
        <w:t xml:space="preserve">This exercise is asking you to use your knowledge of the theory given in class to relate the two distributions.</w:t>
      </w:r>
      <w:r>
        <w:t xml:space="preserve"> </w:t>
      </w:r>
      <w:r>
        <w:t xml:space="preserve">Confused? Try re-watching video lecture 07 for a starter on how to complete this project.</w:t>
      </w:r>
    </w:p>
    <w:bookmarkEnd w:id="173"/>
    <w:bookmarkStart w:id="174" w:name="Xf3484ba4e22f2d785329dbdad048225ceed229c"/>
    <w:p>
      <w:pPr>
        <w:pStyle w:val="Heading3"/>
      </w:pPr>
      <w:r>
        <w:rPr>
          <w:rStyle w:val="SectionNumber"/>
        </w:rPr>
        <w:t xml:space="preserve">4.3.2</w:t>
      </w:r>
      <w:r>
        <w:tab/>
      </w:r>
      <w:r>
        <w:t xml:space="preserve">Part 2: Basic Inferential Data Analysis Instructions</w:t>
      </w:r>
    </w:p>
    <w:p>
      <w:pPr>
        <w:pStyle w:val="FirstParagraph"/>
      </w:pPr>
      <w:r>
        <w:t xml:space="preserve">In the second portion of the project, we’re going to analyze the ToothGrowth data in the R datasets package.</w:t>
      </w:r>
    </w:p>
    <w:p>
      <w:pPr>
        <w:numPr>
          <w:ilvl w:val="0"/>
          <w:numId w:val="1016"/>
        </w:numPr>
        <w:pStyle w:val="Compact"/>
      </w:pPr>
      <w:r>
        <w:t xml:space="preserve">Load the</w:t>
      </w:r>
      <w:r>
        <w:t xml:space="preserve"> </w:t>
      </w:r>
      <w:r>
        <w:rPr>
          <w:rStyle w:val="VerbatimChar"/>
        </w:rPr>
        <w:t xml:space="preserve">ToothGrowth</w:t>
      </w:r>
      <w:r>
        <w:t xml:space="preserve"> </w:t>
      </w:r>
      <w:r>
        <w:t xml:space="preserve">data and perform some basic exploratory data analyses</w:t>
      </w:r>
    </w:p>
    <w:p>
      <w:pPr>
        <w:numPr>
          <w:ilvl w:val="0"/>
          <w:numId w:val="1016"/>
        </w:numPr>
        <w:pStyle w:val="Compact"/>
      </w:pPr>
      <w:r>
        <w:t xml:space="preserve">Provide a basic summary of the data.</w:t>
      </w:r>
    </w:p>
    <w:p>
      <w:pPr>
        <w:numPr>
          <w:ilvl w:val="0"/>
          <w:numId w:val="1016"/>
        </w:numPr>
        <w:pStyle w:val="Compact"/>
      </w:pPr>
      <w:r>
        <w:t xml:space="preserve">Use confidence intervals and/or hypothesis tests to compare tooth growth by supp and dose. (Only use the techniques from class, even if there’s other approaches worth considering)</w:t>
      </w:r>
    </w:p>
    <w:p>
      <w:pPr>
        <w:numPr>
          <w:ilvl w:val="0"/>
          <w:numId w:val="1016"/>
        </w:numPr>
        <w:pStyle w:val="Compact"/>
      </w:pPr>
      <w:r>
        <w:t xml:space="preserve">State your conclusions and the assumptions needed for your conclusions.</w:t>
      </w:r>
    </w:p>
    <w:bookmarkEnd w:id="174"/>
    <w:bookmarkEnd w:id="175"/>
    <w:bookmarkStart w:id="176" w:name="practical-r-exercises-in-swirl-3"/>
    <w:p>
      <w:pPr>
        <w:pStyle w:val="Heading2"/>
      </w:pPr>
      <w:r>
        <w:rPr>
          <w:rStyle w:val="SectionNumber"/>
        </w:rPr>
        <w:t xml:space="preserve">4.4</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17"/>
        </w:numPr>
        <w:pStyle w:val="Compact"/>
      </w:pPr>
      <w:r>
        <w:t xml:space="preserve">Power</w:t>
      </w:r>
    </w:p>
    <w:p>
      <w:pPr>
        <w:numPr>
          <w:ilvl w:val="0"/>
          <w:numId w:val="1017"/>
        </w:numPr>
        <w:pStyle w:val="Compact"/>
      </w:pPr>
      <w:r>
        <w:t xml:space="preserve">Multiple Testing</w:t>
      </w:r>
    </w:p>
    <w:p>
      <w:pPr>
        <w:numPr>
          <w:ilvl w:val="0"/>
          <w:numId w:val="1017"/>
        </w:numPr>
        <w:pStyle w:val="Compact"/>
      </w:pPr>
      <w:r>
        <w:t xml:space="preserve">Resampling</w:t>
      </w:r>
    </w:p>
    <w:bookmarkEnd w:id="176"/>
    <w:bookmarkEnd w:id="177"/>
    <w:bookmarkStart w:id="185" w:name="about-the-authors"/>
    <w:p>
      <w:pPr>
        <w:pStyle w:val="Heading1"/>
      </w:pPr>
      <w:r>
        <w:t xml:space="preserve">About the Authors</w:t>
      </w:r>
    </w:p>
    <w:p>
      <w:pPr>
        <w:pStyle w:val="FirstParagraph"/>
      </w:pPr>
      <w:r>
        <w:t xml:space="preserve">These credits are based on our</w:t>
      </w:r>
      <w:r>
        <w:t xml:space="preserve"> </w:t>
      </w:r>
      <w:hyperlink r:id="rId17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79">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80">
              <w:r>
                <w:rPr>
                  <w:rStyle w:val="Hyperlink"/>
                </w:rPr>
                <w:t xml:space="preserve">Candace Savonen</w:t>
              </w:r>
            </w:hyperlink>
            <w:r>
              <w:t xml:space="preserve">,</w:t>
            </w:r>
            <w:r>
              <w:t xml:space="preserve"> </w:t>
            </w:r>
            <w:hyperlink r:id="rId181">
              <w:r>
                <w:rPr>
                  <w:rStyle w:val="Hyperlink"/>
                </w:rPr>
                <w:t xml:space="preserve">Carrie Wright</w:t>
              </w:r>
            </w:hyperlink>
            <w:r>
              <w:t xml:space="preserve">,</w:t>
            </w:r>
            <w:r>
              <w:t xml:space="preserve"> </w:t>
            </w:r>
            <w:hyperlink r:id="rId182">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8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81">
              <w:r>
                <w:rPr>
                  <w:rStyle w:val="Hyperlink"/>
                </w:rPr>
                <w:t xml:space="preserve">Carrie Wright</w:t>
              </w:r>
            </w:hyperlink>
            <w:r>
              <w:t xml:space="preserve">,</w:t>
            </w:r>
            <w:r>
              <w:t xml:space="preserve"> </w:t>
            </w:r>
            <w:hyperlink r:id="rId182">
              <w:r>
                <w:rPr>
                  <w:rStyle w:val="Hyperlink"/>
                </w:rPr>
                <w:t xml:space="preserve">Ava Hoffman</w:t>
              </w:r>
            </w:hyperlink>
            <w:r>
              <w:t xml:space="preserve">,</w:t>
            </w:r>
            <w:r>
              <w:t xml:space="preserve"> </w:t>
            </w:r>
            <w:hyperlink r:id="rId180">
              <w:r>
                <w:rPr>
                  <w:rStyle w:val="Hyperlink"/>
                </w:rPr>
                <w:t xml:space="preserve">Candace Savonen</w:t>
              </w:r>
            </w:hyperlink>
          </w:p>
        </w:tc>
      </w:tr>
      <w:tr>
        <w:tc>
          <w:tcPr/>
          <w:p>
            <w:pPr>
              <w:pStyle w:val="Compact"/>
              <w:jc w:val="left"/>
            </w:pPr>
            <w:r>
              <w:t xml:space="preserve">Package Developers (</w:t>
            </w:r>
            <w:hyperlink r:id="rId183">
              <w:r>
                <w:rPr>
                  <w:rStyle w:val="Hyperlink"/>
                </w:rPr>
                <w:t xml:space="preserve">ottrpal</w:t>
              </w:r>
            </w:hyperlink>
            <w:r>
              <w:t xml:space="preserve">)</w:t>
            </w:r>
            <w:r>
              <w:t xml:space="preserve"> </w:t>
            </w:r>
            <w:hyperlink r:id="rId180">
              <w:r>
                <w:rPr>
                  <w:rStyle w:val="Hyperlink"/>
                </w:rPr>
                <w:t xml:space="preserve">Candace Savonen</w:t>
              </w:r>
            </w:hyperlink>
            <w:r>
              <w:t xml:space="preserve">,</w:t>
            </w:r>
            <w:r>
              <w:t xml:space="preserve"> </w:t>
            </w:r>
            <w:hyperlink r:id="rId184">
              <w:r>
                <w:rPr>
                  <w:rStyle w:val="Hyperlink"/>
                </w:rPr>
                <w:t xml:space="preserve">John Muschelli</w:t>
              </w:r>
            </w:hyperlink>
            <w:r>
              <w:t xml:space="preserve">,</w:t>
            </w:r>
            <w:r>
              <w:t xml:space="preserve"> </w:t>
            </w:r>
            <w:hyperlink r:id="rId181">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85"/>
    <w:bookmarkStart w:id="186" w:name="references"/>
    <w:p>
      <w:pPr>
        <w:pStyle w:val="Heading1"/>
      </w:pPr>
      <w:r>
        <w:rPr>
          <w:rStyle w:val="SectionNumber"/>
        </w:rPr>
        <w:t xml:space="preserve">5</w:t>
      </w:r>
      <w:r>
        <w:tab/>
      </w:r>
      <w:r>
        <w:t xml:space="preserve">References</w:t>
      </w:r>
    </w:p>
    <w:bookmarkEnd w:id="1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6" Target="media/rId146.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108" Target="media/rId108.png" /><Relationship Type="http://schemas.openxmlformats.org/officeDocument/2006/relationships/image" Id="rId110" Target="media/rId110.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124" Target="media/rId124.png" /><Relationship Type="http://schemas.openxmlformats.org/officeDocument/2006/relationships/image" Id="rId126" Target="media/rId126.png" /><Relationship Type="http://schemas.openxmlformats.org/officeDocument/2006/relationships/image" Id="rId134" Target="media/rId134.png" /><Relationship Type="http://schemas.openxmlformats.org/officeDocument/2006/relationships/image" Id="rId139" Target="media/rId139.png" /><Relationship Type="http://schemas.openxmlformats.org/officeDocument/2006/relationships/image" Id="rId141" Target="media/rId141.png" /><Relationship Type="http://schemas.openxmlformats.org/officeDocument/2006/relationships/image" Id="rId151" Target="media/rId151.png" /><Relationship Type="http://schemas.openxmlformats.org/officeDocument/2006/relationships/image" Id="rId153" Target="media/rId153.png" /><Relationship Type="http://schemas.openxmlformats.org/officeDocument/2006/relationships/image" Id="rId158" Target="media/rId158.png" /><Relationship Type="http://schemas.openxmlformats.org/officeDocument/2006/relationships/image" Id="rId160" Target="media/rId160.png" /><Relationship Type="http://schemas.openxmlformats.org/officeDocument/2006/relationships/image" Id="rId162" Target="media/rId162.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69" Target="media/rId169.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57"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55" Target="http://www.amazon.com/Multiple-Procedures-Applications-Genomics-Statistics/dp/0387493166/ref=sr_1_2/102-3292576-129059?ie=UTF8&amp;s=books&amp;qid=1187394873&amp;sr=1-2" TargetMode="External" /><Relationship Type="http://schemas.openxmlformats.org/officeDocument/2006/relationships/hyperlink" Id="rId156" Target="http://www.pnas.org/content/100/16/9440.full" TargetMode="External" /><Relationship Type="http://schemas.openxmlformats.org/officeDocument/2006/relationships/hyperlink" Id="rId181" Target="https://carriewright11.github.io/" TargetMode="External" /><Relationship Type="http://schemas.openxmlformats.org/officeDocument/2006/relationships/hyperlink" Id="rId150" Target="https://en.wikipedia.org/wiki/Bonferroni_correction" TargetMode="External" /><Relationship Type="http://schemas.openxmlformats.org/officeDocument/2006/relationships/hyperlink" Id="rId149"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83"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48" Target="https://imgs.xkcd.com/comics/significant.png" TargetMode="External" /><Relationship Type="http://schemas.openxmlformats.org/officeDocument/2006/relationships/hyperlink" Id="rId184"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02" Target="https://upload.wikimedia.org/wikipedia/commons/c/c1/Galton_box.jpg" TargetMode="External" /><Relationship Type="http://schemas.openxmlformats.org/officeDocument/2006/relationships/hyperlink" Id="rId182" Target="https://www.avahoffman.com/" TargetMode="External" /><Relationship Type="http://schemas.openxmlformats.org/officeDocument/2006/relationships/hyperlink" Id="rId180" Target="https://www.cansavvy.com/" TargetMode="External" /><Relationship Type="http://schemas.openxmlformats.org/officeDocument/2006/relationships/hyperlink" Id="rId178"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45" Target="https://xkcd.com/882/" TargetMode="External" /><Relationship Type="http://schemas.openxmlformats.org/officeDocument/2006/relationships/hyperlink" Id="rId179"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57"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55" Target="http://www.amazon.com/Multiple-Procedures-Applications-Genomics-Statistics/dp/0387493166/ref=sr_1_2/102-3292576-129059?ie=UTF8&amp;s=books&amp;qid=1187394873&amp;sr=1-2" TargetMode="External" /><Relationship Type="http://schemas.openxmlformats.org/officeDocument/2006/relationships/hyperlink" Id="rId156" Target="http://www.pnas.org/content/100/16/9440.full" TargetMode="External" /><Relationship Type="http://schemas.openxmlformats.org/officeDocument/2006/relationships/hyperlink" Id="rId181" Target="https://carriewright11.github.io/" TargetMode="External" /><Relationship Type="http://schemas.openxmlformats.org/officeDocument/2006/relationships/hyperlink" Id="rId150" Target="https://en.wikipedia.org/wiki/Bonferroni_correction" TargetMode="External" /><Relationship Type="http://schemas.openxmlformats.org/officeDocument/2006/relationships/hyperlink" Id="rId149"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83"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48" Target="https://imgs.xkcd.com/comics/significant.png" TargetMode="External" /><Relationship Type="http://schemas.openxmlformats.org/officeDocument/2006/relationships/hyperlink" Id="rId184"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02" Target="https://upload.wikimedia.org/wikipedia/commons/c/c1/Galton_box.jpg" TargetMode="External" /><Relationship Type="http://schemas.openxmlformats.org/officeDocument/2006/relationships/hyperlink" Id="rId182" Target="https://www.avahoffman.com/" TargetMode="External" /><Relationship Type="http://schemas.openxmlformats.org/officeDocument/2006/relationships/hyperlink" Id="rId180" Target="https://www.cansavvy.com/" TargetMode="External" /><Relationship Type="http://schemas.openxmlformats.org/officeDocument/2006/relationships/hyperlink" Id="rId178"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45" Target="https://xkcd.com/882/" TargetMode="External" /><Relationship Type="http://schemas.openxmlformats.org/officeDocument/2006/relationships/hyperlink" Id="rId179"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2023-07-12T17:47:59Z</dcterms:created>
  <dcterms:modified xsi:type="dcterms:W3CDTF">2023-07-12T17:47:59Z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