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CA2CA" w14:textId="77777777" w:rsidR="00657DD6" w:rsidRDefault="00000000">
      <w:pPr>
        <w:pBdr>
          <w:bottom w:val="single" w:sz="12" w:space="6" w:color="1F3864"/>
        </w:pBdr>
        <w:spacing w:after="60"/>
        <w:jc w:val="center"/>
      </w:pPr>
      <w:r>
        <w:rPr>
          <w:b/>
          <w:bCs/>
          <w:color w:val="1F3864"/>
          <w:spacing w:val="40"/>
          <w:sz w:val="18"/>
          <w:szCs w:val="18"/>
        </w:rPr>
        <w:t>POLICY BRIEF</w:t>
      </w:r>
    </w:p>
    <w:p w14:paraId="221E11E0" w14:textId="77777777" w:rsidR="00657DD6" w:rsidRDefault="00000000">
      <w:pPr>
        <w:spacing w:before="120" w:after="80"/>
        <w:jc w:val="center"/>
      </w:pPr>
      <w:r>
        <w:rPr>
          <w:b/>
          <w:bCs/>
          <w:color w:val="1F3864"/>
          <w:sz w:val="36"/>
          <w:szCs w:val="36"/>
        </w:rPr>
        <w:t>Reducing Hungary's Electricity Import Dependence</w:t>
      </w:r>
    </w:p>
    <w:p w14:paraId="76A0924B" w14:textId="4452E42E" w:rsidR="00657DD6" w:rsidRDefault="00000000">
      <w:pPr>
        <w:spacing w:after="120"/>
        <w:jc w:val="center"/>
      </w:pPr>
      <w:r>
        <w:rPr>
          <w:i/>
          <w:iCs/>
          <w:color w:val="404040"/>
          <w:sz w:val="24"/>
          <w:szCs w:val="24"/>
        </w:rPr>
        <w:t>A Targeted, Hour-Level Approach Based on 2022</w:t>
      </w:r>
      <w:r w:rsidR="006F7391">
        <w:rPr>
          <w:i/>
          <w:iCs/>
          <w:color w:val="404040"/>
          <w:sz w:val="24"/>
          <w:szCs w:val="24"/>
        </w:rPr>
        <w:t>-</w:t>
      </w:r>
      <w:r>
        <w:rPr>
          <w:i/>
          <w:iCs/>
          <w:color w:val="404040"/>
          <w:sz w:val="24"/>
          <w:szCs w:val="24"/>
        </w:rPr>
        <w:t>2025 System Data</w:t>
      </w:r>
    </w:p>
    <w:p w14:paraId="091931DF" w14:textId="77777777" w:rsidR="00657DD6" w:rsidRDefault="00000000">
      <w:pPr>
        <w:pBdr>
          <w:bottom w:val="single" w:sz="6" w:space="6" w:color="B4C7E7"/>
        </w:pBdr>
        <w:spacing w:after="60"/>
        <w:jc w:val="center"/>
      </w:pPr>
      <w:r>
        <w:rPr>
          <w:color w:val="595959"/>
          <w:sz w:val="20"/>
          <w:szCs w:val="20"/>
        </w:rPr>
        <w:t xml:space="preserve">Prepared for: </w:t>
      </w:r>
      <w:r>
        <w:rPr>
          <w:b/>
          <w:bCs/>
          <w:color w:val="595959"/>
          <w:sz w:val="20"/>
          <w:szCs w:val="20"/>
        </w:rPr>
        <w:t>Government of Hungary</w:t>
      </w:r>
      <w:r>
        <w:rPr>
          <w:color w:val="595959"/>
          <w:sz w:val="20"/>
          <w:szCs w:val="20"/>
        </w:rPr>
        <w:t xml:space="preserve">   |   Data source: MAVIR VER hourly dataset   |   </w:t>
      </w:r>
      <w:r>
        <w:rPr>
          <w:b/>
          <w:bCs/>
          <w:color w:val="595959"/>
          <w:sz w:val="20"/>
          <w:szCs w:val="20"/>
        </w:rPr>
        <w:t>April 2026</w:t>
      </w:r>
    </w:p>
    <w:p w14:paraId="269AFDC6" w14:textId="77777777" w:rsidR="00657DD6" w:rsidRDefault="00000000">
      <w:pPr>
        <w:pStyle w:val="Cmsor1"/>
      </w:pPr>
      <w:r>
        <w:t>Executive Summary</w:t>
      </w:r>
    </w:p>
    <w:p w14:paraId="23064C87" w14:textId="77777777" w:rsidR="00657DD6" w:rsidRDefault="00000000">
      <w:pPr>
        <w:spacing w:after="140" w:line="312" w:lineRule="auto"/>
        <w:jc w:val="both"/>
      </w:pPr>
      <w:r>
        <w:t>Hungary's electricity import dependence has fallen from 28.2% of load in 2022 to 20.6% in 2025. This progress is real, but the annual figure hides the actual problem: imports are highly concentrated in specific hours of the day and specific months of the year, not spread evenly across time.</w:t>
      </w:r>
    </w:p>
    <w:p w14:paraId="43B2A857" w14:textId="1DA8369F" w:rsidR="00657DD6" w:rsidRDefault="00000000">
      <w:pPr>
        <w:spacing w:after="140" w:line="312" w:lineRule="auto"/>
        <w:jc w:val="both"/>
      </w:pPr>
      <w:r>
        <w:t>Using four years of hourly MAVIR system data (2022</w:t>
      </w:r>
      <w:r w:rsidR="006F7391">
        <w:t>-</w:t>
      </w:r>
      <w:r>
        <w:t>2025), this brief shows that the top 10% most import-intensive hours carry roughly twice the import share of normal hours. These stress hours occur overwhelmingly during winter evenings, when domestic production is structurally lower and demand is structurally higher.</w:t>
      </w:r>
    </w:p>
    <w:p w14:paraId="37F0EE84" w14:textId="77777777" w:rsidR="00657DD6" w:rsidRDefault="00000000">
      <w:pPr>
        <w:spacing w:after="140" w:line="312" w:lineRule="auto"/>
        <w:jc w:val="both"/>
      </w:pPr>
      <w:r>
        <w:t xml:space="preserve">The policy implication is clear: </w:t>
      </w:r>
      <w:r>
        <w:rPr>
          <w:b/>
          <w:bCs/>
        </w:rPr>
        <w:t>broad, untargeted measures are inefficient. Reducing import dependence further requires interventions focused on the narrow time windows where the system is actually stressed.</w:t>
      </w:r>
    </w:p>
    <w:p w14:paraId="30FB20C9" w14:textId="7F95373A" w:rsidR="00657DD6" w:rsidRDefault="00000000">
      <w:pPr>
        <w:spacing w:after="140" w:line="312" w:lineRule="auto"/>
        <w:jc w:val="both"/>
      </w:pPr>
      <w:r>
        <w:t xml:space="preserve">Our scenario modelling suggests that a combined package </w:t>
      </w:r>
      <w:r w:rsidR="006F7391">
        <w:t>-</w:t>
      </w:r>
      <w:r>
        <w:t xml:space="preserve"> 2% peak-evening demand reduction, 3% additional domestic production during winter evenings, and 100 MWh/hour of storage shifting from midday to evening </w:t>
      </w:r>
      <w:r w:rsidR="006F7391">
        <w:t>-</w:t>
      </w:r>
      <w:r>
        <w:t xml:space="preserve"> would reduce winter-evening import by approximately 13.7% and total annual import by 1.7%, with no need to change the system's overall annual structure.</w:t>
      </w:r>
    </w:p>
    <w:p w14:paraId="2D2588E6" w14:textId="77777777" w:rsidR="00657DD6" w:rsidRDefault="00000000">
      <w:pPr>
        <w:pStyle w:val="Cmsor1"/>
      </w:pPr>
      <w:r>
        <w:t>1. The Problem Is Time, Not Volume</w:t>
      </w:r>
    </w:p>
    <w:p w14:paraId="1401BD25" w14:textId="77777777" w:rsidR="00657DD6" w:rsidRDefault="00000000">
      <w:pPr>
        <w:pStyle w:val="Cmsor2"/>
      </w:pPr>
      <w:r>
        <w:t>Annual trends look positive…</w:t>
      </w:r>
    </w:p>
    <w:p w14:paraId="21C1E2E6" w14:textId="77777777" w:rsidR="00657DD6" w:rsidRDefault="00000000">
      <w:pPr>
        <w:spacing w:after="140" w:line="312" w:lineRule="auto"/>
        <w:jc w:val="both"/>
      </w:pPr>
      <w:r>
        <w:t>Hungary's net import share of total electricity load has declined for four consecutive years. This is a genuine improvement driven by rising domestic generation and more predictable planning.</w:t>
      </w:r>
    </w:p>
    <w:p w14:paraId="262A5CB6" w14:textId="77777777" w:rsidR="00657DD6" w:rsidRDefault="00000000">
      <w:pPr>
        <w:pStyle w:val="Cmsor2"/>
      </w:pPr>
      <w:r>
        <w:t>…but the system is not stressed evenly</w:t>
      </w:r>
    </w:p>
    <w:p w14:paraId="42336CB6" w14:textId="0A777A5E" w:rsidR="00657DD6" w:rsidRDefault="00000000">
      <w:pPr>
        <w:spacing w:after="140" w:line="312" w:lineRule="auto"/>
        <w:jc w:val="both"/>
      </w:pPr>
      <w:r>
        <w:t xml:space="preserve">When the data is examined at the hour level, a different picture emerges. The 10% of hours with the highest net import are not random </w:t>
      </w:r>
      <w:r w:rsidR="006F7391">
        <w:t>-</w:t>
      </w:r>
      <w:r>
        <w:t xml:space="preserve"> they cluster into a predictable pattern, as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657DD6" w14:paraId="68D256B4" w14:textId="77777777">
        <w:tblPrEx>
          <w:tblCellMar>
            <w:top w:w="0" w:type="dxa"/>
            <w:bottom w:w="0" w:type="dxa"/>
          </w:tblCellMar>
        </w:tblPrEx>
        <w:trPr>
          <w:tblHeader/>
        </w:trPr>
        <w:tc>
          <w:tcPr>
            <w:tcW w:w="300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49DE5D9B" w14:textId="77777777" w:rsidR="00657DD6" w:rsidRDefault="00000000">
            <w:pPr>
              <w:jc w:val="center"/>
            </w:pPr>
            <w:r>
              <w:rPr>
                <w:b/>
                <w:bCs/>
                <w:color w:val="FFFFFF"/>
                <w:sz w:val="20"/>
                <w:szCs w:val="20"/>
              </w:rPr>
              <w:t>Indicator</w:t>
            </w:r>
          </w:p>
        </w:tc>
        <w:tc>
          <w:tcPr>
            <w:tcW w:w="200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72B9D4D4" w14:textId="77777777" w:rsidR="00657DD6" w:rsidRDefault="00000000">
            <w:pPr>
              <w:jc w:val="center"/>
            </w:pPr>
            <w:r>
              <w:rPr>
                <w:b/>
                <w:bCs/>
                <w:color w:val="FFFFFF"/>
                <w:sz w:val="20"/>
                <w:szCs w:val="20"/>
              </w:rPr>
              <w:t>High-import hours (top 10%)</w:t>
            </w:r>
          </w:p>
        </w:tc>
        <w:tc>
          <w:tcPr>
            <w:tcW w:w="200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5E26BAD5" w14:textId="77777777" w:rsidR="00657DD6" w:rsidRDefault="00000000">
            <w:pPr>
              <w:jc w:val="center"/>
            </w:pPr>
            <w:r>
              <w:rPr>
                <w:b/>
                <w:bCs/>
                <w:color w:val="FFFFFF"/>
                <w:sz w:val="20"/>
                <w:szCs w:val="20"/>
              </w:rPr>
              <w:t>Normal hours</w:t>
            </w:r>
          </w:p>
        </w:tc>
        <w:tc>
          <w:tcPr>
            <w:tcW w:w="200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0EDA53ED" w14:textId="77777777" w:rsidR="00657DD6" w:rsidRDefault="00000000">
            <w:pPr>
              <w:jc w:val="center"/>
            </w:pPr>
            <w:r>
              <w:rPr>
                <w:b/>
                <w:bCs/>
                <w:color w:val="FFFFFF"/>
                <w:sz w:val="20"/>
                <w:szCs w:val="20"/>
              </w:rPr>
              <w:t>Gap</w:t>
            </w:r>
          </w:p>
        </w:tc>
      </w:tr>
      <w:tr w:rsidR="00657DD6" w14:paraId="4E8A05EB"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8552CA7" w14:textId="77777777" w:rsidR="00657DD6" w:rsidRDefault="00000000">
            <w:r>
              <w:rPr>
                <w:b/>
                <w:bCs/>
                <w:sz w:val="20"/>
                <w:szCs w:val="20"/>
              </w:rPr>
              <w:t>Average system load (MW)</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69EE6C6" w14:textId="77777777" w:rsidR="00657DD6" w:rsidRDefault="00000000">
            <w:pPr>
              <w:jc w:val="center"/>
            </w:pPr>
            <w:r>
              <w:rPr>
                <w:sz w:val="20"/>
                <w:szCs w:val="20"/>
              </w:rPr>
              <w:t>5,865</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908072E" w14:textId="77777777" w:rsidR="00657DD6" w:rsidRDefault="00000000">
            <w:pPr>
              <w:jc w:val="center"/>
            </w:pPr>
            <w:r>
              <w:rPr>
                <w:sz w:val="20"/>
                <w:szCs w:val="20"/>
              </w:rPr>
              <w:t>4,724</w:t>
            </w:r>
          </w:p>
        </w:tc>
        <w:tc>
          <w:tcPr>
            <w:tcW w:w="2000" w:type="dxa"/>
            <w:tcBorders>
              <w:top w:val="single" w:sz="4" w:space="0" w:color="B4C7E7"/>
              <w:left w:val="single" w:sz="4" w:space="0" w:color="B4C7E7"/>
              <w:bottom w:val="single" w:sz="4" w:space="0" w:color="B4C7E7"/>
              <w:right w:val="single" w:sz="4" w:space="0" w:color="B4C7E7"/>
            </w:tcBorders>
            <w:shd w:val="clear" w:color="auto" w:fill="E7F0FA"/>
            <w:tcMar>
              <w:top w:w="100" w:type="dxa"/>
              <w:left w:w="140" w:type="dxa"/>
              <w:bottom w:w="100" w:type="dxa"/>
              <w:right w:w="140" w:type="dxa"/>
            </w:tcMar>
          </w:tcPr>
          <w:p w14:paraId="040853F8" w14:textId="77777777" w:rsidR="00657DD6" w:rsidRDefault="00000000">
            <w:pPr>
              <w:jc w:val="center"/>
            </w:pPr>
            <w:r>
              <w:rPr>
                <w:sz w:val="20"/>
                <w:szCs w:val="20"/>
              </w:rPr>
              <w:t>+24%</w:t>
            </w:r>
          </w:p>
        </w:tc>
      </w:tr>
      <w:tr w:rsidR="00657DD6" w14:paraId="32EA1C7C"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011E463" w14:textId="77777777" w:rsidR="00657DD6" w:rsidRDefault="00000000">
            <w:r>
              <w:rPr>
                <w:b/>
                <w:bCs/>
                <w:sz w:val="20"/>
                <w:szCs w:val="20"/>
              </w:rPr>
              <w:t>Average domestic production (MW)</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9735F89" w14:textId="77777777" w:rsidR="00657DD6" w:rsidRDefault="00000000">
            <w:pPr>
              <w:jc w:val="center"/>
            </w:pPr>
            <w:r>
              <w:rPr>
                <w:sz w:val="20"/>
                <w:szCs w:val="20"/>
              </w:rPr>
              <w:t>3,180</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A25061B" w14:textId="77777777" w:rsidR="00657DD6" w:rsidRDefault="00000000">
            <w:pPr>
              <w:jc w:val="center"/>
            </w:pPr>
            <w:r>
              <w:rPr>
                <w:sz w:val="20"/>
                <w:szCs w:val="20"/>
              </w:rPr>
              <w:t>3,661</w:t>
            </w:r>
          </w:p>
        </w:tc>
        <w:tc>
          <w:tcPr>
            <w:tcW w:w="2000" w:type="dxa"/>
            <w:tcBorders>
              <w:top w:val="single" w:sz="4" w:space="0" w:color="B4C7E7"/>
              <w:left w:val="single" w:sz="4" w:space="0" w:color="B4C7E7"/>
              <w:bottom w:val="single" w:sz="4" w:space="0" w:color="B4C7E7"/>
              <w:right w:val="single" w:sz="4" w:space="0" w:color="B4C7E7"/>
            </w:tcBorders>
            <w:shd w:val="clear" w:color="auto" w:fill="E7F0FA"/>
            <w:tcMar>
              <w:top w:w="100" w:type="dxa"/>
              <w:left w:w="140" w:type="dxa"/>
              <w:bottom w:w="100" w:type="dxa"/>
              <w:right w:w="140" w:type="dxa"/>
            </w:tcMar>
          </w:tcPr>
          <w:p w14:paraId="4967EC89" w14:textId="185824C4" w:rsidR="00657DD6" w:rsidRDefault="006F7391">
            <w:pPr>
              <w:jc w:val="center"/>
            </w:pPr>
            <w:r>
              <w:rPr>
                <w:sz w:val="20"/>
                <w:szCs w:val="20"/>
              </w:rPr>
              <w:t>-</w:t>
            </w:r>
            <w:r w:rsidR="00000000">
              <w:rPr>
                <w:sz w:val="20"/>
                <w:szCs w:val="20"/>
              </w:rPr>
              <w:t>13%</w:t>
            </w:r>
          </w:p>
        </w:tc>
      </w:tr>
      <w:tr w:rsidR="00657DD6" w14:paraId="6BE202D4"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A539D48" w14:textId="77777777" w:rsidR="00657DD6" w:rsidRDefault="00000000">
            <w:r>
              <w:rPr>
                <w:b/>
                <w:bCs/>
                <w:sz w:val="20"/>
                <w:szCs w:val="20"/>
              </w:rPr>
              <w:t>Net-import share of load</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4C5C3FF" w14:textId="77777777" w:rsidR="00657DD6" w:rsidRDefault="00000000">
            <w:pPr>
              <w:jc w:val="center"/>
            </w:pPr>
            <w:r>
              <w:rPr>
                <w:sz w:val="20"/>
                <w:szCs w:val="20"/>
              </w:rPr>
              <w:t>46.1%</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1FCFC9B" w14:textId="77777777" w:rsidR="00657DD6" w:rsidRDefault="00000000">
            <w:pPr>
              <w:jc w:val="center"/>
            </w:pPr>
            <w:r>
              <w:rPr>
                <w:sz w:val="20"/>
                <w:szCs w:val="20"/>
              </w:rPr>
              <w:t>21.9%</w:t>
            </w:r>
          </w:p>
        </w:tc>
        <w:tc>
          <w:tcPr>
            <w:tcW w:w="2000" w:type="dxa"/>
            <w:tcBorders>
              <w:top w:val="single" w:sz="4" w:space="0" w:color="B4C7E7"/>
              <w:left w:val="single" w:sz="4" w:space="0" w:color="B4C7E7"/>
              <w:bottom w:val="single" w:sz="4" w:space="0" w:color="B4C7E7"/>
              <w:right w:val="single" w:sz="4" w:space="0" w:color="B4C7E7"/>
            </w:tcBorders>
            <w:shd w:val="clear" w:color="auto" w:fill="E7F0FA"/>
            <w:tcMar>
              <w:top w:w="100" w:type="dxa"/>
              <w:left w:w="140" w:type="dxa"/>
              <w:bottom w:w="100" w:type="dxa"/>
              <w:right w:w="140" w:type="dxa"/>
            </w:tcMar>
          </w:tcPr>
          <w:p w14:paraId="2173A086" w14:textId="77777777" w:rsidR="00657DD6" w:rsidRDefault="00000000">
            <w:pPr>
              <w:jc w:val="center"/>
            </w:pPr>
            <w:r>
              <w:rPr>
                <w:sz w:val="20"/>
                <w:szCs w:val="20"/>
              </w:rPr>
              <w:t>+2.1× higher</w:t>
            </w:r>
          </w:p>
        </w:tc>
      </w:tr>
    </w:tbl>
    <w:p w14:paraId="58936A29" w14:textId="53219A70" w:rsidR="00657DD6" w:rsidRDefault="00000000">
      <w:pPr>
        <w:spacing w:before="60" w:after="160"/>
      </w:pPr>
      <w:r>
        <w:rPr>
          <w:i/>
          <w:iCs/>
          <w:color w:val="595959"/>
          <w:sz w:val="18"/>
          <w:szCs w:val="18"/>
        </w:rPr>
        <w:t>Source: own calculation on MAVIR hourly data, 2022</w:t>
      </w:r>
      <w:r w:rsidR="006F7391">
        <w:rPr>
          <w:i/>
          <w:iCs/>
          <w:color w:val="595959"/>
          <w:sz w:val="18"/>
          <w:szCs w:val="18"/>
        </w:rPr>
        <w:t>-</w:t>
      </w:r>
      <w:r>
        <w:rPr>
          <w:i/>
          <w:iCs/>
          <w:color w:val="595959"/>
          <w:sz w:val="18"/>
          <w:szCs w:val="18"/>
        </w:rPr>
        <w:t>2025 (N ≈ 35,000 hours).</w:t>
      </w:r>
    </w:p>
    <w:p w14:paraId="2A5C9D82" w14:textId="1D4530D9" w:rsidR="00657DD6" w:rsidRDefault="00000000">
      <w:pPr>
        <w:spacing w:after="140" w:line="312" w:lineRule="auto"/>
        <w:jc w:val="both"/>
      </w:pPr>
      <w:r>
        <w:lastRenderedPageBreak/>
        <w:t xml:space="preserve">High-import hours are not caused by a single factor. They are the combination of above-average demand and below-average domestic supply. The import share in these hours is 46% </w:t>
      </w:r>
      <w:r w:rsidR="006F7391">
        <w:t>-</w:t>
      </w:r>
      <w:r>
        <w:t xml:space="preserve"> more than double the average. This combination is most frequent during winter evenings (17:00</w:t>
      </w:r>
      <w:r w:rsidR="006F7391">
        <w:t>-</w:t>
      </w:r>
      <w:r>
        <w:t>22:00, November</w:t>
      </w:r>
      <w:r w:rsidR="006F7391">
        <w:t>-</w:t>
      </w:r>
      <w:r>
        <w:t>February).</w:t>
      </w:r>
    </w:p>
    <w:p w14:paraId="3E134C4F" w14:textId="77777777" w:rsidR="00657DD6" w:rsidRDefault="00000000">
      <w:pPr>
        <w:pStyle w:val="Cmsor1"/>
      </w:pPr>
      <w:r>
        <w:t>2. What the Data Recommends</w:t>
      </w:r>
    </w:p>
    <w:p w14:paraId="05634280" w14:textId="13A3AD54" w:rsidR="00657DD6" w:rsidRDefault="00000000">
      <w:pPr>
        <w:spacing w:after="140" w:line="312" w:lineRule="auto"/>
        <w:jc w:val="both"/>
      </w:pPr>
      <w:r>
        <w:t>Because the problem is concentrated in time, the most cost-effective response is also concentrated in time. Three intervention levers were tested against the 2022</w:t>
      </w:r>
      <w:r w:rsidR="006F7391">
        <w:t>-</w:t>
      </w:r>
      <w:r>
        <w:t>2025 dataset:</w:t>
      </w:r>
    </w:p>
    <w:p w14:paraId="4BFAED22" w14:textId="75B89A38" w:rsidR="00657DD6" w:rsidRDefault="00000000">
      <w:pPr>
        <w:pStyle w:val="Listaszerbekezds"/>
        <w:numPr>
          <w:ilvl w:val="0"/>
          <w:numId w:val="2"/>
        </w:numPr>
        <w:spacing w:after="80" w:line="290" w:lineRule="auto"/>
      </w:pPr>
      <w:r>
        <w:rPr>
          <w:b/>
          <w:bCs/>
        </w:rPr>
        <w:t xml:space="preserve">Peak shaving </w:t>
      </w:r>
      <w:r w:rsidR="006F7391">
        <w:rPr>
          <w:b/>
          <w:bCs/>
        </w:rPr>
        <w:t>-</w:t>
      </w:r>
      <w:r>
        <w:rPr>
          <w:b/>
          <w:bCs/>
        </w:rPr>
        <w:t xml:space="preserve"> </w:t>
      </w:r>
      <w:r>
        <w:t>focuses on reducing consumption during winter evening peaks (17:00</w:t>
      </w:r>
      <w:r w:rsidR="006F7391">
        <w:t>-</w:t>
      </w:r>
      <w:r>
        <w:t>22:00, Nov</w:t>
      </w:r>
      <w:r w:rsidR="006F7391">
        <w:t>-</w:t>
      </w:r>
      <w:r>
        <w:t>Feb).</w:t>
      </w:r>
    </w:p>
    <w:p w14:paraId="746819E0" w14:textId="78B6794E" w:rsidR="00657DD6" w:rsidRDefault="00000000">
      <w:pPr>
        <w:pStyle w:val="Listaszerbekezds"/>
        <w:numPr>
          <w:ilvl w:val="0"/>
          <w:numId w:val="2"/>
        </w:numPr>
        <w:spacing w:after="80" w:line="290" w:lineRule="auto"/>
      </w:pPr>
      <w:r>
        <w:rPr>
          <w:b/>
          <w:bCs/>
        </w:rPr>
        <w:t xml:space="preserve">Domestic production </w:t>
      </w:r>
      <w:r w:rsidR="006F7391">
        <w:rPr>
          <w:b/>
          <w:bCs/>
        </w:rPr>
        <w:t>-</w:t>
      </w:r>
      <w:r>
        <w:rPr>
          <w:b/>
          <w:bCs/>
        </w:rPr>
        <w:t xml:space="preserve"> </w:t>
      </w:r>
      <w:r>
        <w:t>adds generation in the same high-risk hours (e.g. scheduled availability of dispatchable capacity).</w:t>
      </w:r>
    </w:p>
    <w:p w14:paraId="58B58F20" w14:textId="5EDCBE9B" w:rsidR="00657DD6" w:rsidRDefault="00000000">
      <w:pPr>
        <w:pStyle w:val="Listaszerbekezds"/>
        <w:numPr>
          <w:ilvl w:val="0"/>
          <w:numId w:val="2"/>
        </w:numPr>
        <w:spacing w:after="80" w:line="290" w:lineRule="auto"/>
      </w:pPr>
      <w:r>
        <w:rPr>
          <w:b/>
          <w:bCs/>
        </w:rPr>
        <w:t xml:space="preserve">Storage shifting </w:t>
      </w:r>
      <w:r w:rsidR="006F7391">
        <w:rPr>
          <w:b/>
          <w:bCs/>
        </w:rPr>
        <w:t>-</w:t>
      </w:r>
      <w:r>
        <w:rPr>
          <w:b/>
          <w:bCs/>
        </w:rPr>
        <w:t xml:space="preserve"> </w:t>
      </w:r>
      <w:r>
        <w:t>charges batteries or pumped-hydro during low-demand midday hours and discharges them into the evening peak.</w:t>
      </w:r>
    </w:p>
    <w:p w14:paraId="48409611" w14:textId="77777777" w:rsidR="00657DD6" w:rsidRDefault="00000000">
      <w:pPr>
        <w:pStyle w:val="Cmsor2"/>
      </w:pPr>
      <w:r>
        <w:t>Scenario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50"/>
        <w:gridCol w:w="2250"/>
      </w:tblGrid>
      <w:tr w:rsidR="00657DD6" w14:paraId="38B09CEA" w14:textId="77777777">
        <w:tblPrEx>
          <w:tblCellMar>
            <w:top w:w="0" w:type="dxa"/>
            <w:bottom w:w="0" w:type="dxa"/>
          </w:tblCellMar>
        </w:tblPrEx>
        <w:trPr>
          <w:tblHeader/>
        </w:trPr>
        <w:tc>
          <w:tcPr>
            <w:tcW w:w="450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70C9E30A" w14:textId="77777777" w:rsidR="00657DD6" w:rsidRDefault="00000000">
            <w:pPr>
              <w:jc w:val="center"/>
            </w:pPr>
            <w:r>
              <w:rPr>
                <w:b/>
                <w:bCs/>
                <w:color w:val="FFFFFF"/>
                <w:sz w:val="20"/>
                <w:szCs w:val="20"/>
              </w:rPr>
              <w:t>Intervention scenario</w:t>
            </w:r>
          </w:p>
        </w:tc>
        <w:tc>
          <w:tcPr>
            <w:tcW w:w="225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0C17E0CF" w14:textId="77777777" w:rsidR="00657DD6" w:rsidRDefault="00000000">
            <w:pPr>
              <w:jc w:val="center"/>
            </w:pPr>
            <w:r>
              <w:rPr>
                <w:b/>
                <w:bCs/>
                <w:color w:val="FFFFFF"/>
                <w:sz w:val="20"/>
                <w:szCs w:val="20"/>
              </w:rPr>
              <w:t>Annual import reduction</w:t>
            </w:r>
          </w:p>
        </w:tc>
        <w:tc>
          <w:tcPr>
            <w:tcW w:w="2250" w:type="dxa"/>
            <w:tcBorders>
              <w:top w:val="single" w:sz="4" w:space="0" w:color="B4C7E7"/>
              <w:left w:val="single" w:sz="4" w:space="0" w:color="B4C7E7"/>
              <w:bottom w:val="single" w:sz="4" w:space="0" w:color="B4C7E7"/>
              <w:right w:val="single" w:sz="4" w:space="0" w:color="B4C7E7"/>
            </w:tcBorders>
            <w:shd w:val="clear" w:color="auto" w:fill="1F3864"/>
            <w:tcMar>
              <w:top w:w="100" w:type="dxa"/>
              <w:left w:w="140" w:type="dxa"/>
              <w:bottom w:w="100" w:type="dxa"/>
              <w:right w:w="140" w:type="dxa"/>
            </w:tcMar>
          </w:tcPr>
          <w:p w14:paraId="0B182784" w14:textId="77777777" w:rsidR="00657DD6" w:rsidRDefault="00000000">
            <w:pPr>
              <w:jc w:val="center"/>
            </w:pPr>
            <w:r>
              <w:rPr>
                <w:b/>
                <w:bCs/>
                <w:color w:val="FFFFFF"/>
                <w:sz w:val="20"/>
                <w:szCs w:val="20"/>
              </w:rPr>
              <w:t>Winter-evening peak reduction</w:t>
            </w:r>
          </w:p>
        </w:tc>
      </w:tr>
      <w:tr w:rsidR="00657DD6" w14:paraId="067798A5"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A808C0E" w14:textId="44878B83" w:rsidR="00657DD6" w:rsidRDefault="00000000">
            <w:r>
              <w:rPr>
                <w:sz w:val="20"/>
                <w:szCs w:val="20"/>
              </w:rPr>
              <w:t xml:space="preserve">Peak shaving: </w:t>
            </w:r>
            <w:r w:rsidR="006F7391">
              <w:rPr>
                <w:sz w:val="20"/>
                <w:szCs w:val="20"/>
              </w:rPr>
              <w:t>-</w:t>
            </w:r>
            <w:r>
              <w:rPr>
                <w:sz w:val="20"/>
                <w:szCs w:val="20"/>
              </w:rPr>
              <w:t>1% winter evening load</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089E720" w14:textId="77777777" w:rsidR="00657DD6" w:rsidRDefault="00000000">
            <w:pPr>
              <w:jc w:val="center"/>
            </w:pPr>
            <w:r>
              <w:rPr>
                <w:sz w:val="20"/>
                <w:szCs w:val="20"/>
              </w:rPr>
              <w:t>0.4%</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574A200" w14:textId="77777777" w:rsidR="00657DD6" w:rsidRDefault="00000000">
            <w:pPr>
              <w:jc w:val="center"/>
            </w:pPr>
            <w:r>
              <w:rPr>
                <w:sz w:val="20"/>
                <w:szCs w:val="20"/>
              </w:rPr>
              <w:t>2.5%</w:t>
            </w:r>
          </w:p>
        </w:tc>
      </w:tr>
      <w:tr w:rsidR="00657DD6" w14:paraId="39B83F48"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5279FB9" w14:textId="5C70C88E" w:rsidR="00657DD6" w:rsidRDefault="00000000">
            <w:r>
              <w:rPr>
                <w:sz w:val="20"/>
                <w:szCs w:val="20"/>
              </w:rPr>
              <w:t xml:space="preserve">Peak shaving: </w:t>
            </w:r>
            <w:r w:rsidR="006F7391">
              <w:rPr>
                <w:sz w:val="20"/>
                <w:szCs w:val="20"/>
              </w:rPr>
              <w:t>-</w:t>
            </w:r>
            <w:r>
              <w:rPr>
                <w:sz w:val="20"/>
                <w:szCs w:val="20"/>
              </w:rPr>
              <w:t>5% winter evening load</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C27555F" w14:textId="77777777" w:rsidR="00657DD6" w:rsidRDefault="00000000">
            <w:pPr>
              <w:jc w:val="center"/>
            </w:pPr>
            <w:r>
              <w:rPr>
                <w:b/>
                <w:bCs/>
                <w:sz w:val="20"/>
                <w:szCs w:val="20"/>
              </w:rPr>
              <w:t>2.0%</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C02FD33" w14:textId="77777777" w:rsidR="00657DD6" w:rsidRDefault="00000000">
            <w:pPr>
              <w:jc w:val="center"/>
            </w:pPr>
            <w:r>
              <w:rPr>
                <w:b/>
                <w:bCs/>
                <w:sz w:val="20"/>
                <w:szCs w:val="20"/>
              </w:rPr>
              <w:t>12.4%</w:t>
            </w:r>
          </w:p>
        </w:tc>
      </w:tr>
      <w:tr w:rsidR="00657DD6" w14:paraId="021B2DC6"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C607802" w14:textId="77777777" w:rsidR="00657DD6" w:rsidRDefault="00000000">
            <w:r>
              <w:rPr>
                <w:sz w:val="20"/>
                <w:szCs w:val="20"/>
              </w:rPr>
              <w:t>Domestic production +3% (winter evenings)</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BE8D02C" w14:textId="77777777" w:rsidR="00657DD6" w:rsidRDefault="00000000">
            <w:pPr>
              <w:jc w:val="center"/>
            </w:pPr>
            <w:r>
              <w:rPr>
                <w:sz w:val="20"/>
                <w:szCs w:val="20"/>
              </w:rPr>
              <w:t>0.7%</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D87141B" w14:textId="77777777" w:rsidR="00657DD6" w:rsidRDefault="00000000">
            <w:pPr>
              <w:jc w:val="center"/>
            </w:pPr>
            <w:r>
              <w:rPr>
                <w:sz w:val="20"/>
                <w:szCs w:val="20"/>
              </w:rPr>
              <w:t>4.5%</w:t>
            </w:r>
          </w:p>
        </w:tc>
      </w:tr>
      <w:tr w:rsidR="00657DD6" w14:paraId="4E03D6D0"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7B7AFDD" w14:textId="77777777" w:rsidR="00657DD6" w:rsidRDefault="00000000">
            <w:r>
              <w:rPr>
                <w:sz w:val="20"/>
                <w:szCs w:val="20"/>
              </w:rPr>
              <w:t>Domestic production +5% (winter evenings)</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CE28E34" w14:textId="77777777" w:rsidR="00657DD6" w:rsidRDefault="00000000">
            <w:pPr>
              <w:jc w:val="center"/>
            </w:pPr>
            <w:r>
              <w:rPr>
                <w:sz w:val="20"/>
                <w:szCs w:val="20"/>
              </w:rPr>
              <w:t>1.2%</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A760DFF" w14:textId="77777777" w:rsidR="00657DD6" w:rsidRDefault="00000000">
            <w:pPr>
              <w:jc w:val="center"/>
            </w:pPr>
            <w:r>
              <w:rPr>
                <w:sz w:val="20"/>
                <w:szCs w:val="20"/>
              </w:rPr>
              <w:t>7.4%</w:t>
            </w:r>
          </w:p>
        </w:tc>
      </w:tr>
      <w:tr w:rsidR="00657DD6" w14:paraId="4F91A0FB"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454C7FA" w14:textId="77777777" w:rsidR="00657DD6" w:rsidRDefault="00000000">
            <w:r>
              <w:rPr>
                <w:sz w:val="20"/>
                <w:szCs w:val="20"/>
              </w:rPr>
              <w:t>Storage: 100 MWh/h shift midday → evening</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3887033" w14:textId="77777777" w:rsidR="00657DD6" w:rsidRDefault="00000000">
            <w:pPr>
              <w:jc w:val="center"/>
            </w:pPr>
            <w:r>
              <w:rPr>
                <w:sz w:val="20"/>
                <w:szCs w:val="20"/>
              </w:rPr>
              <w:t>0.2%</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4453F13" w14:textId="77777777" w:rsidR="00657DD6" w:rsidRDefault="00000000">
            <w:pPr>
              <w:jc w:val="center"/>
            </w:pPr>
            <w:r>
              <w:rPr>
                <w:sz w:val="20"/>
                <w:szCs w:val="20"/>
              </w:rPr>
              <w:t>4.2%</w:t>
            </w:r>
          </w:p>
        </w:tc>
      </w:tr>
      <w:tr w:rsidR="00657DD6" w14:paraId="726D3229"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0D9984C" w14:textId="77777777" w:rsidR="00657DD6" w:rsidRDefault="00000000">
            <w:r>
              <w:rPr>
                <w:sz w:val="20"/>
                <w:szCs w:val="20"/>
              </w:rPr>
              <w:t>Storage: 200 MWh/h shift midday → evening</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6B470A7" w14:textId="77777777" w:rsidR="00657DD6" w:rsidRDefault="00000000">
            <w:pPr>
              <w:jc w:val="center"/>
            </w:pPr>
            <w:r>
              <w:rPr>
                <w:sz w:val="20"/>
                <w:szCs w:val="20"/>
              </w:rPr>
              <w:t>0.5%</w:t>
            </w:r>
          </w:p>
        </w:tc>
        <w:tc>
          <w:tcPr>
            <w:tcW w:w="225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35296B9" w14:textId="77777777" w:rsidR="00657DD6" w:rsidRDefault="00000000">
            <w:pPr>
              <w:jc w:val="center"/>
            </w:pPr>
            <w:r>
              <w:rPr>
                <w:sz w:val="20"/>
                <w:szCs w:val="20"/>
              </w:rPr>
              <w:t>8.5%</w:t>
            </w:r>
          </w:p>
        </w:tc>
      </w:tr>
      <w:tr w:rsidR="00657DD6" w14:paraId="266EE698" w14:textId="77777777">
        <w:tblPrEx>
          <w:tblCellMar>
            <w:top w:w="0" w:type="dxa"/>
            <w:bottom w:w="0" w:type="dxa"/>
          </w:tblCellMar>
        </w:tblPrEx>
        <w:tc>
          <w:tcPr>
            <w:tcW w:w="45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22A51DE" w14:textId="19EB71C3" w:rsidR="00657DD6" w:rsidRDefault="00000000">
            <w:r>
              <w:rPr>
                <w:b/>
                <w:bCs/>
                <w:sz w:val="20"/>
                <w:szCs w:val="20"/>
              </w:rPr>
              <w:t>Combined package (</w:t>
            </w:r>
            <w:r w:rsidR="006F7391">
              <w:rPr>
                <w:b/>
                <w:bCs/>
                <w:sz w:val="20"/>
                <w:szCs w:val="20"/>
              </w:rPr>
              <w:t>-</w:t>
            </w:r>
            <w:r>
              <w:rPr>
                <w:b/>
                <w:bCs/>
                <w:sz w:val="20"/>
                <w:szCs w:val="20"/>
              </w:rPr>
              <w:t>2% load, +3% prod, 100 MWh/h storage)</w:t>
            </w:r>
          </w:p>
        </w:tc>
        <w:tc>
          <w:tcPr>
            <w:tcW w:w="2250" w:type="dxa"/>
            <w:tcBorders>
              <w:top w:val="single" w:sz="4" w:space="0" w:color="B4C7E7"/>
              <w:left w:val="single" w:sz="4" w:space="0" w:color="B4C7E7"/>
              <w:bottom w:val="single" w:sz="4" w:space="0" w:color="B4C7E7"/>
              <w:right w:val="single" w:sz="4" w:space="0" w:color="B4C7E7"/>
            </w:tcBorders>
            <w:shd w:val="clear" w:color="auto" w:fill="E7F0FA"/>
            <w:tcMar>
              <w:top w:w="100" w:type="dxa"/>
              <w:left w:w="140" w:type="dxa"/>
              <w:bottom w:w="100" w:type="dxa"/>
              <w:right w:w="140" w:type="dxa"/>
            </w:tcMar>
          </w:tcPr>
          <w:p w14:paraId="0C939EF9" w14:textId="77777777" w:rsidR="00657DD6" w:rsidRDefault="00000000">
            <w:pPr>
              <w:jc w:val="center"/>
            </w:pPr>
            <w:r>
              <w:rPr>
                <w:b/>
                <w:bCs/>
                <w:sz w:val="20"/>
                <w:szCs w:val="20"/>
              </w:rPr>
              <w:t>1.7%</w:t>
            </w:r>
          </w:p>
        </w:tc>
        <w:tc>
          <w:tcPr>
            <w:tcW w:w="2250" w:type="dxa"/>
            <w:tcBorders>
              <w:top w:val="single" w:sz="4" w:space="0" w:color="B4C7E7"/>
              <w:left w:val="single" w:sz="4" w:space="0" w:color="B4C7E7"/>
              <w:bottom w:val="single" w:sz="4" w:space="0" w:color="B4C7E7"/>
              <w:right w:val="single" w:sz="4" w:space="0" w:color="B4C7E7"/>
            </w:tcBorders>
            <w:shd w:val="clear" w:color="auto" w:fill="E7F0FA"/>
            <w:tcMar>
              <w:top w:w="100" w:type="dxa"/>
              <w:left w:w="140" w:type="dxa"/>
              <w:bottom w:w="100" w:type="dxa"/>
              <w:right w:w="140" w:type="dxa"/>
            </w:tcMar>
          </w:tcPr>
          <w:p w14:paraId="16466A76" w14:textId="77777777" w:rsidR="00657DD6" w:rsidRDefault="00000000">
            <w:pPr>
              <w:jc w:val="center"/>
            </w:pPr>
            <w:r>
              <w:rPr>
                <w:b/>
                <w:bCs/>
                <w:sz w:val="20"/>
                <w:szCs w:val="20"/>
              </w:rPr>
              <w:t>13.7%</w:t>
            </w:r>
          </w:p>
        </w:tc>
      </w:tr>
    </w:tbl>
    <w:p w14:paraId="079111C4" w14:textId="361A540D" w:rsidR="00657DD6" w:rsidRDefault="00000000">
      <w:pPr>
        <w:spacing w:before="60" w:after="160"/>
      </w:pPr>
      <w:r>
        <w:rPr>
          <w:i/>
          <w:iCs/>
          <w:color w:val="595959"/>
          <w:sz w:val="18"/>
          <w:szCs w:val="18"/>
        </w:rPr>
        <w:t>All scenarios applied only to winter evening hours (Nov</w:t>
      </w:r>
      <w:r w:rsidR="006F7391">
        <w:rPr>
          <w:i/>
          <w:iCs/>
          <w:color w:val="595959"/>
          <w:sz w:val="18"/>
          <w:szCs w:val="18"/>
        </w:rPr>
        <w:t>-</w:t>
      </w:r>
      <w:r>
        <w:rPr>
          <w:i/>
          <w:iCs/>
          <w:color w:val="595959"/>
          <w:sz w:val="18"/>
          <w:szCs w:val="18"/>
        </w:rPr>
        <w:t>Feb, 17:00</w:t>
      </w:r>
      <w:r w:rsidR="006F7391">
        <w:rPr>
          <w:i/>
          <w:iCs/>
          <w:color w:val="595959"/>
          <w:sz w:val="18"/>
          <w:szCs w:val="18"/>
        </w:rPr>
        <w:t>-</w:t>
      </w:r>
      <w:r>
        <w:rPr>
          <w:i/>
          <w:iCs/>
          <w:color w:val="595959"/>
          <w:sz w:val="18"/>
          <w:szCs w:val="18"/>
        </w:rPr>
        <w:t>22:00). Results from own simulation on 2022</w:t>
      </w:r>
      <w:r w:rsidR="006F7391">
        <w:rPr>
          <w:i/>
          <w:iCs/>
          <w:color w:val="595959"/>
          <w:sz w:val="18"/>
          <w:szCs w:val="18"/>
        </w:rPr>
        <w:t>-</w:t>
      </w:r>
      <w:r>
        <w:rPr>
          <w:i/>
          <w:iCs/>
          <w:color w:val="595959"/>
          <w:sz w:val="18"/>
          <w:szCs w:val="18"/>
        </w:rPr>
        <w:t>2025 hourly data.</w:t>
      </w:r>
    </w:p>
    <w:p w14:paraId="636336B0" w14:textId="77777777" w:rsidR="00657DD6" w:rsidRDefault="00000000">
      <w:pPr>
        <w:pStyle w:val="Cmsor1"/>
      </w:pPr>
      <w:r>
        <w:t>3. Recommendations</w:t>
      </w:r>
    </w:p>
    <w:p w14:paraId="7035D766" w14:textId="77777777" w:rsidR="00657DD6" w:rsidRDefault="00000000">
      <w:pPr>
        <w:spacing w:after="140" w:line="312" w:lineRule="auto"/>
        <w:jc w:val="both"/>
      </w:pPr>
      <w:r>
        <w:t>On the basis of the evidence above, we submit three concrete recommendations for consideration:</w:t>
      </w:r>
    </w:p>
    <w:p w14:paraId="5C955F9C" w14:textId="3877961D" w:rsidR="00657DD6" w:rsidRDefault="00000000">
      <w:pPr>
        <w:spacing w:after="140" w:line="312" w:lineRule="auto"/>
        <w:jc w:val="both"/>
      </w:pPr>
      <w:r>
        <w:rPr>
          <w:b/>
          <w:bCs/>
          <w:color w:val="1F3864"/>
        </w:rPr>
        <w:t xml:space="preserve">Recommendation 1 </w:t>
      </w:r>
      <w:r w:rsidR="006F7391">
        <w:rPr>
          <w:b/>
          <w:bCs/>
          <w:color w:val="1F3864"/>
        </w:rPr>
        <w:t>-</w:t>
      </w:r>
      <w:r>
        <w:rPr>
          <w:b/>
          <w:bCs/>
          <w:color w:val="1F3864"/>
        </w:rPr>
        <w:t xml:space="preserve"> Peak-focused demand response.</w:t>
      </w:r>
      <w:r>
        <w:t xml:space="preserve"> Establish a demand-response programme explicitly targeting the 17:00</w:t>
      </w:r>
      <w:r w:rsidR="006F7391">
        <w:t>-</w:t>
      </w:r>
      <w:r>
        <w:t>22:00 window in winter months, via industrial load tariffs, smart-metering time-of-use incentives, and public-sector load scheduling. A 5% reduction in this window alone would cut winter-evening import by 12%.</w:t>
      </w:r>
    </w:p>
    <w:p w14:paraId="6981D1BD" w14:textId="3E09FA87" w:rsidR="00657DD6" w:rsidRDefault="00000000">
      <w:pPr>
        <w:spacing w:after="140" w:line="312" w:lineRule="auto"/>
        <w:jc w:val="both"/>
      </w:pPr>
      <w:r>
        <w:rPr>
          <w:b/>
          <w:bCs/>
          <w:color w:val="1F3864"/>
        </w:rPr>
        <w:t xml:space="preserve">Recommendation 2 </w:t>
      </w:r>
      <w:r w:rsidR="006F7391">
        <w:rPr>
          <w:b/>
          <w:bCs/>
          <w:color w:val="1F3864"/>
        </w:rPr>
        <w:t>-</w:t>
      </w:r>
      <w:r>
        <w:rPr>
          <w:b/>
          <w:bCs/>
          <w:color w:val="1F3864"/>
        </w:rPr>
        <w:t xml:space="preserve"> Prioritise dispatchable domestic capacity for evening hours.</w:t>
      </w:r>
      <w:r>
        <w:t xml:space="preserve"> Scheduled availability of domestic generation in the winter evening window should be treated as a distinct policy objective, not absorbed into general annual capacity targets. A 3% increase here is worth more than a 3% increase distributed across the year.</w:t>
      </w:r>
    </w:p>
    <w:p w14:paraId="34583958" w14:textId="21A6A34D" w:rsidR="00657DD6" w:rsidRDefault="00000000">
      <w:pPr>
        <w:spacing w:after="140" w:line="312" w:lineRule="auto"/>
        <w:jc w:val="both"/>
      </w:pPr>
      <w:r>
        <w:rPr>
          <w:b/>
          <w:bCs/>
          <w:color w:val="1F3864"/>
        </w:rPr>
        <w:t xml:space="preserve">Recommendation 3 </w:t>
      </w:r>
      <w:r w:rsidR="006F7391">
        <w:rPr>
          <w:b/>
          <w:bCs/>
          <w:color w:val="1F3864"/>
        </w:rPr>
        <w:t>-</w:t>
      </w:r>
      <w:r>
        <w:rPr>
          <w:b/>
          <w:bCs/>
          <w:color w:val="1F3864"/>
        </w:rPr>
        <w:t xml:space="preserve"> Deploy storage against the midday-to-evening gap.</w:t>
      </w:r>
      <w:r>
        <w:t xml:space="preserve"> The data shows consistent surplus conditions during winter midday hours (11:00</w:t>
      </w:r>
      <w:r w:rsidR="006F7391">
        <w:t>-</w:t>
      </w:r>
      <w:r>
        <w:t xml:space="preserve">14:00). Battery and pumped storage capable of a </w:t>
      </w:r>
      <w:r>
        <w:lastRenderedPageBreak/>
        <w:t>100</w:t>
      </w:r>
      <w:r w:rsidR="006F7391">
        <w:t>-</w:t>
      </w:r>
      <w:r>
        <w:t>200 MWh/hour shift into the evening peak would deliver 4</w:t>
      </w:r>
      <w:r w:rsidR="006F7391">
        <w:t>-</w:t>
      </w:r>
      <w:r>
        <w:t>9% peak-import reduction with no additional generation needed.</w:t>
      </w:r>
    </w:p>
    <w:p w14:paraId="379CBE36" w14:textId="77777777" w:rsidR="00657DD6" w:rsidRDefault="00000000">
      <w:pPr>
        <w:pStyle w:val="Cmsor1"/>
      </w:pPr>
      <w:r>
        <w:t>4. Conclusion</w:t>
      </w:r>
    </w:p>
    <w:p w14:paraId="1339DDE9" w14:textId="17C3F0D6" w:rsidR="00657DD6" w:rsidRDefault="00000000">
      <w:pPr>
        <w:spacing w:after="140" w:line="312" w:lineRule="auto"/>
        <w:jc w:val="both"/>
      </w:pPr>
      <w:r>
        <w:t xml:space="preserve">Hungary's remaining import dependence is not a general capacity problem </w:t>
      </w:r>
      <w:r w:rsidR="006F7391">
        <w:t>-</w:t>
      </w:r>
      <w:r>
        <w:t xml:space="preserve"> it is a timing problem. The annual averages are improving, but the stress hours remain concentrated in winter evenings. Policy that recognises this structure, rather than treating the whole year as equally problematic, can deliver measurable security-of-supply gains at a fraction of the cost of broad capacity expansion.</w:t>
      </w:r>
    </w:p>
    <w:p w14:paraId="2E02E147" w14:textId="77777777" w:rsidR="00657DD6" w:rsidRDefault="00000000">
      <w:pPr>
        <w:pStyle w:val="Cmsor2"/>
      </w:pPr>
      <w:r>
        <w:t>Assumptions and limitations</w:t>
      </w:r>
    </w:p>
    <w:p w14:paraId="3F892C05" w14:textId="0410AF51" w:rsidR="00657DD6" w:rsidRDefault="00000000">
      <w:pPr>
        <w:pStyle w:val="Listaszerbekezds"/>
        <w:numPr>
          <w:ilvl w:val="0"/>
          <w:numId w:val="2"/>
        </w:numPr>
        <w:spacing w:after="80" w:line="290" w:lineRule="auto"/>
      </w:pPr>
      <w:r>
        <w:rPr>
          <w:b/>
          <w:bCs/>
        </w:rPr>
        <w:t xml:space="preserve">Direct substitution </w:t>
      </w:r>
      <w:r w:rsidR="006F7391">
        <w:rPr>
          <w:b/>
          <w:bCs/>
        </w:rPr>
        <w:t>-</w:t>
      </w:r>
      <w:r>
        <w:rPr>
          <w:b/>
          <w:bCs/>
        </w:rPr>
        <w:t xml:space="preserve"> </w:t>
      </w:r>
      <w:r>
        <w:t>Scenario simulations assume that reductions in peak-evening load translate one-to-one into reductions in net import. In practice, system operator rebalancing may partly offset this; the estimates should therefore be read as upper bounds for the modelled levers in isolation.</w:t>
      </w:r>
    </w:p>
    <w:p w14:paraId="0C6AA3BF" w14:textId="3653F3F2" w:rsidR="00657DD6" w:rsidRDefault="00000000">
      <w:pPr>
        <w:pStyle w:val="Listaszerbekezds"/>
        <w:numPr>
          <w:ilvl w:val="0"/>
          <w:numId w:val="2"/>
        </w:numPr>
        <w:spacing w:after="80" w:line="290" w:lineRule="auto"/>
      </w:pPr>
      <w:r>
        <w:rPr>
          <w:b/>
          <w:bCs/>
        </w:rPr>
        <w:t xml:space="preserve">Underlying trend </w:t>
      </w:r>
      <w:r w:rsidR="006F7391">
        <w:rPr>
          <w:b/>
          <w:bCs/>
        </w:rPr>
        <w:t>-</w:t>
      </w:r>
      <w:r>
        <w:rPr>
          <w:b/>
          <w:bCs/>
        </w:rPr>
        <w:t xml:space="preserve"> </w:t>
      </w:r>
      <w:r>
        <w:t>The 28.2% → 20.6% improvement was driven partly by rising own production and partly by favourable market conditions in 2025. The brief does not assume this trend continues automatically.</w:t>
      </w:r>
    </w:p>
    <w:p w14:paraId="72188763" w14:textId="1D211AB1" w:rsidR="00657DD6" w:rsidRDefault="00000000">
      <w:pPr>
        <w:pStyle w:val="Listaszerbekezds"/>
        <w:numPr>
          <w:ilvl w:val="0"/>
          <w:numId w:val="2"/>
        </w:numPr>
        <w:spacing w:after="80" w:line="290" w:lineRule="auto"/>
      </w:pPr>
      <w:r>
        <w:rPr>
          <w:b/>
          <w:bCs/>
        </w:rPr>
        <w:t xml:space="preserve">Data scope </w:t>
      </w:r>
      <w:r w:rsidR="006F7391">
        <w:rPr>
          <w:b/>
          <w:bCs/>
        </w:rPr>
        <w:t>-</w:t>
      </w:r>
      <w:r>
        <w:rPr>
          <w:b/>
          <w:bCs/>
        </w:rPr>
        <w:t xml:space="preserve"> </w:t>
      </w:r>
      <w:r>
        <w:t>The 2022</w:t>
      </w:r>
      <w:r w:rsidR="006F7391">
        <w:t>-</w:t>
      </w:r>
      <w:r>
        <w:t>2025 window covers post-pandemic recovery, the 2022 gas-price shock, and the subsequent normalisation. Seasonal patterns identified here are robust across all four years; absolute levels may differ in future.</w:t>
      </w:r>
    </w:p>
    <w:p w14:paraId="320ED93A" w14:textId="77777777" w:rsidR="00657DD6" w:rsidRDefault="00000000">
      <w:pPr>
        <w:pStyle w:val="Cmsor2"/>
      </w:pPr>
      <w:r>
        <w:t>Proposed next steps</w:t>
      </w:r>
    </w:p>
    <w:p w14:paraId="7EB04E13" w14:textId="0D2E76EC" w:rsidR="00657DD6" w:rsidRDefault="00000000">
      <w:pPr>
        <w:spacing w:after="140" w:line="312" w:lineRule="auto"/>
        <w:jc w:val="both"/>
      </w:pPr>
      <w:r>
        <w:t>A three-stage rollout would allow each intervention to be measured against the hourly baseline established in this study: (</w:t>
      </w:r>
      <w:r w:rsidR="006F7391">
        <w:t>I</w:t>
      </w:r>
      <w:r>
        <w:t>) a one-winter pilot of evening time-of-use tariffs in a defined consumer segment, (</w:t>
      </w:r>
      <w:r w:rsidR="006F7391">
        <w:t>II</w:t>
      </w:r>
      <w:r>
        <w:t>) a reserve-capacity auction specifically for 17:00</w:t>
      </w:r>
      <w:r w:rsidR="006F7391">
        <w:t>-</w:t>
      </w:r>
      <w:r>
        <w:t>22:00 winter availability, and (</w:t>
      </w:r>
      <w:r w:rsidR="006F7391">
        <w:t>III</w:t>
      </w:r>
      <w:r>
        <w:t>) a targeted call for storage projects dimensioned against the midday</w:t>
      </w:r>
      <w:r w:rsidR="006F7391">
        <w:t>-</w:t>
      </w:r>
      <w:r>
        <w:t>evening gap. After one full winter, the same hourly indicators used here could be re-evaluated to quantify actual impact.</w:t>
      </w:r>
    </w:p>
    <w:p w14:paraId="4CB01E18" w14:textId="775372B5" w:rsidR="00657DD6" w:rsidRDefault="00000000">
      <w:pPr>
        <w:pBdr>
          <w:top w:val="single" w:sz="6" w:space="6" w:color="B4C7E7"/>
        </w:pBdr>
        <w:spacing w:before="200"/>
      </w:pPr>
      <w:r>
        <w:rPr>
          <w:b/>
          <w:bCs/>
          <w:i/>
          <w:iCs/>
          <w:color w:val="595959"/>
          <w:sz w:val="18"/>
          <w:szCs w:val="18"/>
        </w:rPr>
        <w:t xml:space="preserve">Methodology note: </w:t>
      </w:r>
      <w:r>
        <w:rPr>
          <w:i/>
          <w:iCs/>
          <w:color w:val="595959"/>
          <w:sz w:val="18"/>
          <w:szCs w:val="18"/>
        </w:rPr>
        <w:t xml:space="preserve">Analysis based on 35,064 hourly observations from MAVIR's VER dataset (Jan 2022 </w:t>
      </w:r>
      <w:r w:rsidR="006F7391">
        <w:rPr>
          <w:i/>
          <w:iCs/>
          <w:color w:val="595959"/>
          <w:sz w:val="18"/>
          <w:szCs w:val="18"/>
        </w:rPr>
        <w:t>-</w:t>
      </w:r>
      <w:r>
        <w:rPr>
          <w:i/>
          <w:iCs/>
          <w:color w:val="595959"/>
          <w:sz w:val="18"/>
          <w:szCs w:val="18"/>
        </w:rPr>
        <w:t xml:space="preserve"> Dec 2025). High-import hours defined as the top 10% of net-import values. Scenario simulations apply interventions only to winter evening hours (Nov</w:t>
      </w:r>
      <w:r w:rsidR="006F7391">
        <w:rPr>
          <w:i/>
          <w:iCs/>
          <w:color w:val="595959"/>
          <w:sz w:val="18"/>
          <w:szCs w:val="18"/>
        </w:rPr>
        <w:t>-</w:t>
      </w:r>
      <w:r>
        <w:rPr>
          <w:i/>
          <w:iCs/>
          <w:color w:val="595959"/>
          <w:sz w:val="18"/>
          <w:szCs w:val="18"/>
        </w:rPr>
        <w:t>Feb, 17:00</w:t>
      </w:r>
      <w:r w:rsidR="006F7391">
        <w:rPr>
          <w:i/>
          <w:iCs/>
          <w:color w:val="595959"/>
          <w:sz w:val="18"/>
          <w:szCs w:val="18"/>
        </w:rPr>
        <w:t>-</w:t>
      </w:r>
      <w:r>
        <w:rPr>
          <w:i/>
          <w:iCs/>
          <w:color w:val="595959"/>
          <w:sz w:val="18"/>
          <w:szCs w:val="18"/>
        </w:rPr>
        <w:t>22:00) and re-compute annual and peak-window totals against baseline.</w:t>
      </w:r>
    </w:p>
    <w:sectPr w:rsidR="00657DD6">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4ED82" w14:textId="77777777" w:rsidR="008C555D" w:rsidRDefault="008C555D">
      <w:r>
        <w:separator/>
      </w:r>
    </w:p>
  </w:endnote>
  <w:endnote w:type="continuationSeparator" w:id="0">
    <w:p w14:paraId="0BAB309E" w14:textId="77777777" w:rsidR="008C555D" w:rsidRDefault="008C5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256C" w14:textId="77777777" w:rsidR="00657DD6" w:rsidRDefault="00000000">
    <w:pPr>
      <w:pBdr>
        <w:top w:val="single" w:sz="4" w:space="4" w:color="B4C7E7"/>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F739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F739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40ED" w14:textId="77777777" w:rsidR="008C555D" w:rsidRDefault="008C555D">
      <w:r>
        <w:separator/>
      </w:r>
    </w:p>
  </w:footnote>
  <w:footnote w:type="continuationSeparator" w:id="0">
    <w:p w14:paraId="33867BB5" w14:textId="77777777" w:rsidR="008C555D" w:rsidRDefault="008C5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DDFF" w14:textId="77777777" w:rsidR="00657DD6" w:rsidRDefault="00000000">
    <w:pPr>
      <w:pBdr>
        <w:bottom w:val="single" w:sz="4" w:space="4" w:color="B4C7E7"/>
      </w:pBdr>
      <w:jc w:val="right"/>
    </w:pPr>
    <w:r>
      <w:rPr>
        <w:i/>
        <w:iCs/>
        <w:color w:val="595959"/>
        <w:sz w:val="16"/>
        <w:szCs w:val="16"/>
      </w:rPr>
      <w:t>Policy Brief — Hungarian Electricity Import Dependence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521"/>
    <w:multiLevelType w:val="hybridMultilevel"/>
    <w:tmpl w:val="553A1048"/>
    <w:lvl w:ilvl="0" w:tplc="E5FA25D6">
      <w:start w:val="1"/>
      <w:numFmt w:val="bullet"/>
      <w:lvlText w:val="•"/>
      <w:lvlJc w:val="left"/>
      <w:pPr>
        <w:ind w:left="540" w:hanging="270"/>
      </w:pPr>
    </w:lvl>
    <w:lvl w:ilvl="1" w:tplc="0D780B1C">
      <w:numFmt w:val="decimal"/>
      <w:lvlText w:val=""/>
      <w:lvlJc w:val="left"/>
    </w:lvl>
    <w:lvl w:ilvl="2" w:tplc="AC7E08F4">
      <w:numFmt w:val="decimal"/>
      <w:lvlText w:val=""/>
      <w:lvlJc w:val="left"/>
    </w:lvl>
    <w:lvl w:ilvl="3" w:tplc="CE3C7E02">
      <w:numFmt w:val="decimal"/>
      <w:lvlText w:val=""/>
      <w:lvlJc w:val="left"/>
    </w:lvl>
    <w:lvl w:ilvl="4" w:tplc="9698DAE8">
      <w:numFmt w:val="decimal"/>
      <w:lvlText w:val=""/>
      <w:lvlJc w:val="left"/>
    </w:lvl>
    <w:lvl w:ilvl="5" w:tplc="8500CF56">
      <w:numFmt w:val="decimal"/>
      <w:lvlText w:val=""/>
      <w:lvlJc w:val="left"/>
    </w:lvl>
    <w:lvl w:ilvl="6" w:tplc="9AD8C37E">
      <w:numFmt w:val="decimal"/>
      <w:lvlText w:val=""/>
      <w:lvlJc w:val="left"/>
    </w:lvl>
    <w:lvl w:ilvl="7" w:tplc="670A61CE">
      <w:numFmt w:val="decimal"/>
      <w:lvlText w:val=""/>
      <w:lvlJc w:val="left"/>
    </w:lvl>
    <w:lvl w:ilvl="8" w:tplc="77881B8C">
      <w:numFmt w:val="decimal"/>
      <w:lvlText w:val=""/>
      <w:lvlJc w:val="left"/>
    </w:lvl>
  </w:abstractNum>
  <w:abstractNum w:abstractNumId="1" w15:restartNumberingAfterBreak="0">
    <w:nsid w:val="37562CDC"/>
    <w:multiLevelType w:val="hybridMultilevel"/>
    <w:tmpl w:val="DFAA365A"/>
    <w:lvl w:ilvl="0" w:tplc="6C8EE0EC">
      <w:start w:val="1"/>
      <w:numFmt w:val="bullet"/>
      <w:lvlText w:val="●"/>
      <w:lvlJc w:val="left"/>
      <w:pPr>
        <w:ind w:left="720" w:hanging="360"/>
      </w:pPr>
    </w:lvl>
    <w:lvl w:ilvl="1" w:tplc="685AC13C">
      <w:start w:val="1"/>
      <w:numFmt w:val="bullet"/>
      <w:lvlText w:val="○"/>
      <w:lvlJc w:val="left"/>
      <w:pPr>
        <w:ind w:left="1440" w:hanging="360"/>
      </w:pPr>
    </w:lvl>
    <w:lvl w:ilvl="2" w:tplc="C69CC920">
      <w:start w:val="1"/>
      <w:numFmt w:val="bullet"/>
      <w:lvlText w:val="■"/>
      <w:lvlJc w:val="left"/>
      <w:pPr>
        <w:ind w:left="2160" w:hanging="360"/>
      </w:pPr>
    </w:lvl>
    <w:lvl w:ilvl="3" w:tplc="83ACF8C6">
      <w:start w:val="1"/>
      <w:numFmt w:val="bullet"/>
      <w:lvlText w:val="●"/>
      <w:lvlJc w:val="left"/>
      <w:pPr>
        <w:ind w:left="2880" w:hanging="360"/>
      </w:pPr>
    </w:lvl>
    <w:lvl w:ilvl="4" w:tplc="6302D2D0">
      <w:start w:val="1"/>
      <w:numFmt w:val="bullet"/>
      <w:lvlText w:val="○"/>
      <w:lvlJc w:val="left"/>
      <w:pPr>
        <w:ind w:left="3600" w:hanging="360"/>
      </w:pPr>
    </w:lvl>
    <w:lvl w:ilvl="5" w:tplc="FB42A7DE">
      <w:start w:val="1"/>
      <w:numFmt w:val="bullet"/>
      <w:lvlText w:val="■"/>
      <w:lvlJc w:val="left"/>
      <w:pPr>
        <w:ind w:left="4320" w:hanging="360"/>
      </w:pPr>
    </w:lvl>
    <w:lvl w:ilvl="6" w:tplc="7F22D91C">
      <w:start w:val="1"/>
      <w:numFmt w:val="bullet"/>
      <w:lvlText w:val="●"/>
      <w:lvlJc w:val="left"/>
      <w:pPr>
        <w:ind w:left="5040" w:hanging="360"/>
      </w:pPr>
    </w:lvl>
    <w:lvl w:ilvl="7" w:tplc="83BE8AEA">
      <w:start w:val="1"/>
      <w:numFmt w:val="bullet"/>
      <w:lvlText w:val="●"/>
      <w:lvlJc w:val="left"/>
      <w:pPr>
        <w:ind w:left="5760" w:hanging="360"/>
      </w:pPr>
    </w:lvl>
    <w:lvl w:ilvl="8" w:tplc="BC907DBA">
      <w:start w:val="1"/>
      <w:numFmt w:val="bullet"/>
      <w:lvlText w:val="●"/>
      <w:lvlJc w:val="left"/>
      <w:pPr>
        <w:ind w:left="6480" w:hanging="360"/>
      </w:pPr>
    </w:lvl>
  </w:abstractNum>
  <w:num w:numId="1" w16cid:durableId="1702049023">
    <w:abstractNumId w:val="1"/>
    <w:lvlOverride w:ilvl="0">
      <w:startOverride w:val="1"/>
    </w:lvlOverride>
  </w:num>
  <w:num w:numId="2" w16cid:durableId="1009260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DD6"/>
    <w:rsid w:val="004927FC"/>
    <w:rsid w:val="00657DD6"/>
    <w:rsid w:val="006F7391"/>
    <w:rsid w:val="008C555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BA08"/>
  <w15:docId w15:val="{F931E533-E7E2-49E6-9FA3-7560FC4F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200" w:after="120"/>
      <w:outlineLvl w:val="0"/>
    </w:pPr>
    <w:rPr>
      <w:b/>
      <w:bCs/>
      <w:color w:val="1F3864"/>
      <w:sz w:val="26"/>
      <w:szCs w:val="26"/>
    </w:rPr>
  </w:style>
  <w:style w:type="paragraph" w:styleId="Cmsor2">
    <w:name w:val="heading 2"/>
    <w:uiPriority w:val="9"/>
    <w:unhideWhenUsed/>
    <w:qFormat/>
    <w:pPr>
      <w:spacing w:before="160" w:after="80"/>
      <w:outlineLvl w:val="1"/>
    </w:pPr>
    <w:rPr>
      <w:b/>
      <w:bCs/>
      <w:color w:val="2E74B5"/>
      <w:sz w:val="23"/>
      <w:szCs w:val="23"/>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855</Words>
  <Characters>5902</Characters>
  <Application>Microsoft Office Word</Application>
  <DocSecurity>0</DocSecurity>
  <Lines>49</Lines>
  <Paragraphs>13</Paragraphs>
  <ScaleCrop>false</ScaleCrop>
  <Company>Prohuman Zrt.</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Hungary's Electricity Import Dependence</dc:title>
  <dc:creator>MSc Data Science Project Team</dc:creator>
  <cp:lastModifiedBy>Balás Bence Balázs</cp:lastModifiedBy>
  <cp:revision>2</cp:revision>
  <dcterms:created xsi:type="dcterms:W3CDTF">2026-04-20T18:27:00Z</dcterms:created>
  <dcterms:modified xsi:type="dcterms:W3CDTF">2026-04-21T09:05:00Z</dcterms:modified>
</cp:coreProperties>
</file>