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C49" w:rsidRDefault="001E7D39">
      <w:pPr>
        <w:jc w:val="center"/>
        <w:rPr>
          <w:rFonts w:ascii="Times New Roman" w:hAnsi="Times New Roman"/>
          <w:b/>
          <w:sz w:val="24"/>
        </w:rPr>
      </w:pPr>
      <w:r>
        <w:rPr>
          <w:rFonts w:ascii="Times New Roman" w:hAnsi="Times New Roman"/>
          <w:b/>
          <w:sz w:val="24"/>
        </w:rPr>
        <w:t xml:space="preserve">EMISSION </w:t>
      </w:r>
      <w:r w:rsidR="00E94C49">
        <w:rPr>
          <w:rFonts w:ascii="Times New Roman" w:hAnsi="Times New Roman"/>
          <w:b/>
          <w:sz w:val="24"/>
        </w:rPr>
        <w:t>INVENTORY</w:t>
      </w:r>
    </w:p>
    <w:p w:rsidR="00E94C49" w:rsidRDefault="00E94C49">
      <w:pPr>
        <w:jc w:val="center"/>
        <w:rPr>
          <w:rFonts w:ascii="Times New Roman" w:hAnsi="Times New Roman"/>
          <w:b/>
          <w:sz w:val="24"/>
        </w:rPr>
      </w:pPr>
    </w:p>
    <w:p w:rsidR="00E94C49" w:rsidRDefault="00E94C49">
      <w:pPr>
        <w:jc w:val="center"/>
        <w:rPr>
          <w:rFonts w:ascii="Times New Roman" w:hAnsi="Times New Roman"/>
          <w:b/>
          <w:sz w:val="24"/>
        </w:rPr>
      </w:pPr>
      <w:r>
        <w:rPr>
          <w:rFonts w:ascii="Times New Roman" w:hAnsi="Times New Roman"/>
          <w:b/>
          <w:sz w:val="24"/>
        </w:rPr>
        <w:t>CATEGORY # 1434</w:t>
      </w:r>
    </w:p>
    <w:p w:rsidR="00E94C49" w:rsidRDefault="00E94C49">
      <w:pPr>
        <w:jc w:val="center"/>
        <w:rPr>
          <w:rFonts w:ascii="Times New Roman" w:hAnsi="Times New Roman"/>
          <w:b/>
          <w:sz w:val="24"/>
        </w:rPr>
      </w:pPr>
    </w:p>
    <w:p w:rsidR="00E94C49" w:rsidRDefault="00E94C49">
      <w:pPr>
        <w:jc w:val="center"/>
        <w:rPr>
          <w:rFonts w:ascii="Times New Roman" w:hAnsi="Times New Roman"/>
          <w:sz w:val="24"/>
        </w:rPr>
      </w:pPr>
      <w:r>
        <w:rPr>
          <w:rFonts w:ascii="Times New Roman" w:hAnsi="Times New Roman"/>
          <w:b/>
          <w:sz w:val="24"/>
        </w:rPr>
        <w:t>PORTABLE FUEL CONTAINER SPILLAGE</w:t>
      </w:r>
    </w:p>
    <w:p w:rsidR="00E94C49" w:rsidRDefault="00E94C49">
      <w:pPr>
        <w:rPr>
          <w:rFonts w:ascii="Times New Roman" w:hAnsi="Times New Roman"/>
          <w:sz w:val="24"/>
        </w:rPr>
      </w:pPr>
    </w:p>
    <w:p w:rsidR="00DC680E" w:rsidRDefault="00DC680E" w:rsidP="00DC680E">
      <w:pPr>
        <w:jc w:val="both"/>
        <w:rPr>
          <w:rFonts w:ascii="Times New Roman" w:hAnsi="Times New Roman"/>
          <w:b/>
          <w:sz w:val="24"/>
        </w:rPr>
      </w:pPr>
      <w:r>
        <w:rPr>
          <w:rFonts w:ascii="Times New Roman" w:hAnsi="Times New Roman"/>
          <w:b/>
          <w:sz w:val="24"/>
        </w:rPr>
        <w:t>EMISSIONS</w:t>
      </w:r>
    </w:p>
    <w:p w:rsidR="00D869C5" w:rsidRDefault="00D869C5">
      <w:pPr>
        <w:rPr>
          <w:rFonts w:ascii="Times New Roman" w:hAnsi="Times New Roman"/>
          <w:sz w:val="24"/>
        </w:rPr>
      </w:pPr>
    </w:p>
    <w:p w:rsidR="00E94C49" w:rsidRDefault="00E94C49">
      <w:pPr>
        <w:jc w:val="both"/>
        <w:rPr>
          <w:rFonts w:ascii="Times New Roman" w:hAnsi="Times New Roman"/>
          <w:sz w:val="24"/>
        </w:rPr>
      </w:pPr>
      <w:r>
        <w:rPr>
          <w:rFonts w:ascii="Times New Roman" w:hAnsi="Times New Roman"/>
          <w:i/>
          <w:sz w:val="24"/>
        </w:rPr>
        <w:t>Introduction</w:t>
      </w:r>
    </w:p>
    <w:p w:rsidR="00E94C49" w:rsidRDefault="00E94C49">
      <w:pPr>
        <w:jc w:val="both"/>
        <w:rPr>
          <w:rFonts w:ascii="Times New Roman" w:hAnsi="Times New Roman"/>
          <w:sz w:val="24"/>
        </w:rPr>
      </w:pPr>
    </w:p>
    <w:p w:rsidR="00E94C49" w:rsidRDefault="00E94C49">
      <w:pPr>
        <w:pStyle w:val="BodyText3"/>
      </w:pPr>
      <w:r>
        <w:t xml:space="preserve">Portable fuel containers or “Gas cans”, and gas can spouts are used to refuel off-road engines and equipment (i.e. lawnmowers, chainsaws, motorcycles, etc.). Portable fuel containers are made of either plastic or metal in variety shapes and sizes ranging </w:t>
      </w:r>
      <w:r w:rsidR="008004D9">
        <w:t>from</w:t>
      </w:r>
      <w:r>
        <w:t xml:space="preserve"> one to more than six gallons capacity. Portable fuel containers are designed for transportation, storing and dispensing fuel. The California Air Resource Board (CARB) regulates all portable fuel containers manufactured for sale and use in 2000. The regulations are intended to reduce refueling emissions from equipment and engines in the off-road categories that are predominantly refueled with portable fuel containers. The Mobile Source Control Division (MSCD) of CARB conducted surveys to establish the number of statewide portable fuel container population in 1998. These surveys show that there are 9,878,706 portable fuel container units statewide. The data also indicate that 94% of portable fuel containers are used in residential households, and 6% for commercial use. Therefore, the effect of the statewide regulations on commercial users (i.e., tree trimming services, landscape maintenance professionals, automobile tow services, etc.) would be insignificant. Using total container population and an average useful life of 5 years suggested by several manufacturers, ARB estimates the total sales of all portable fuel containers statewide.</w:t>
      </w:r>
    </w:p>
    <w:p w:rsidR="00E94C49" w:rsidRDefault="00E94C49">
      <w:pPr>
        <w:jc w:val="both"/>
        <w:rPr>
          <w:rFonts w:ascii="Times New Roman" w:hAnsi="Times New Roman"/>
          <w:sz w:val="24"/>
        </w:rPr>
      </w:pPr>
    </w:p>
    <w:p w:rsidR="00E94C49" w:rsidRDefault="00E94C49">
      <w:pPr>
        <w:jc w:val="both"/>
        <w:rPr>
          <w:rFonts w:ascii="Times New Roman" w:hAnsi="Times New Roman"/>
          <w:i/>
          <w:sz w:val="24"/>
        </w:rPr>
      </w:pPr>
      <w:r>
        <w:rPr>
          <w:rFonts w:ascii="Times New Roman" w:hAnsi="Times New Roman"/>
          <w:i/>
          <w:sz w:val="24"/>
        </w:rPr>
        <w:t>Methodology</w:t>
      </w:r>
    </w:p>
    <w:p w:rsidR="00E94C49" w:rsidRDefault="00E94C49">
      <w:pPr>
        <w:jc w:val="both"/>
        <w:rPr>
          <w:rFonts w:ascii="Times New Roman" w:hAnsi="Times New Roman"/>
          <w:sz w:val="24"/>
        </w:rPr>
      </w:pPr>
      <w:r>
        <w:rPr>
          <w:rFonts w:ascii="Times New Roman" w:hAnsi="Times New Roman"/>
          <w:sz w:val="24"/>
        </w:rPr>
        <w:t xml:space="preserve">  </w:t>
      </w:r>
    </w:p>
    <w:p w:rsidR="00E94C49" w:rsidRDefault="00E94C49">
      <w:pPr>
        <w:pStyle w:val="BodyText3"/>
      </w:pPr>
      <w:r>
        <w:t>This category accounts for evaporative emissions resulting in spillage from refueling, transport and storage of the portable fuel containers. These portable containers contribute emissions by:</w:t>
      </w:r>
    </w:p>
    <w:p w:rsidR="00E94C49" w:rsidRDefault="00E94C49" w:rsidP="00306759">
      <w:pPr>
        <w:pStyle w:val="BodyText3"/>
        <w:numPr>
          <w:ilvl w:val="0"/>
          <w:numId w:val="25"/>
        </w:numPr>
        <w:tabs>
          <w:tab w:val="clear" w:pos="360"/>
          <w:tab w:val="num" w:pos="-4680"/>
        </w:tabs>
        <w:ind w:left="720"/>
      </w:pPr>
      <w:r>
        <w:t>permeation of vapors through walls in containers made from plastic;</w:t>
      </w:r>
    </w:p>
    <w:p w:rsidR="00E94C49" w:rsidRDefault="00E94C49" w:rsidP="00306759">
      <w:pPr>
        <w:pStyle w:val="BodyText3"/>
        <w:numPr>
          <w:ilvl w:val="0"/>
          <w:numId w:val="25"/>
        </w:numPr>
        <w:tabs>
          <w:tab w:val="clear" w:pos="360"/>
          <w:tab w:val="num" w:pos="-3600"/>
        </w:tabs>
        <w:ind w:left="720"/>
      </w:pPr>
      <w:r>
        <w:t>escaping fumes while f</w:t>
      </w:r>
      <w:bookmarkStart w:id="0" w:name="_GoBack"/>
      <w:bookmarkEnd w:id="0"/>
      <w:r>
        <w:t>uel is being poured into equipment;</w:t>
      </w:r>
    </w:p>
    <w:p w:rsidR="00E94C49" w:rsidRDefault="00E94C49" w:rsidP="00306759">
      <w:pPr>
        <w:pStyle w:val="BodyText3"/>
        <w:numPr>
          <w:ilvl w:val="0"/>
          <w:numId w:val="25"/>
        </w:numPr>
        <w:tabs>
          <w:tab w:val="clear" w:pos="360"/>
          <w:tab w:val="num" w:pos="-2520"/>
        </w:tabs>
        <w:ind w:left="720"/>
      </w:pPr>
      <w:r>
        <w:t>spillage and/or over-filling as fuel is being poured into equipment;</w:t>
      </w:r>
    </w:p>
    <w:p w:rsidR="00E94C49" w:rsidRDefault="00E94C49" w:rsidP="00306759">
      <w:pPr>
        <w:pStyle w:val="BodyText3"/>
        <w:numPr>
          <w:ilvl w:val="0"/>
          <w:numId w:val="25"/>
        </w:numPr>
        <w:tabs>
          <w:tab w:val="clear" w:pos="360"/>
          <w:tab w:val="num" w:pos="-1440"/>
        </w:tabs>
        <w:ind w:left="720"/>
      </w:pPr>
      <w:r>
        <w:t>spillage and evaporation through secondary vent holes; and</w:t>
      </w:r>
    </w:p>
    <w:p w:rsidR="00E94C49" w:rsidRDefault="00E94C49" w:rsidP="00306759">
      <w:pPr>
        <w:pStyle w:val="BodyText3"/>
        <w:numPr>
          <w:ilvl w:val="0"/>
          <w:numId w:val="25"/>
        </w:numPr>
        <w:tabs>
          <w:tab w:val="clear" w:pos="360"/>
          <w:tab w:val="num" w:pos="-360"/>
        </w:tabs>
        <w:ind w:left="720"/>
      </w:pPr>
      <w:r>
        <w:t>evaporation through inadequately capped spouts.</w:t>
      </w:r>
    </w:p>
    <w:p w:rsidR="00D869C5" w:rsidRDefault="00D869C5">
      <w:pPr>
        <w:pStyle w:val="BodyText3"/>
      </w:pPr>
    </w:p>
    <w:p w:rsidR="00E94C49" w:rsidRDefault="00F74EFB">
      <w:pPr>
        <w:pStyle w:val="BodyText3"/>
      </w:pPr>
      <w:r>
        <w:t>CARB estimates 3</w:t>
      </w:r>
      <w:r w:rsidR="008004D9">
        <w:t>.5</w:t>
      </w:r>
      <w:r>
        <w:t>7</w:t>
      </w:r>
      <w:r w:rsidR="00E94C49">
        <w:t xml:space="preserve"> tons of uncontrolled ROG emissions per day statewide from </w:t>
      </w:r>
      <w:r>
        <w:t xml:space="preserve">portable fuel </w:t>
      </w:r>
      <w:r w:rsidR="008004D9">
        <w:t>containers in 2011</w:t>
      </w:r>
      <w:r w:rsidR="00E94C49">
        <w:t xml:space="preserve">. </w:t>
      </w:r>
    </w:p>
    <w:p w:rsidR="00E94C49" w:rsidRDefault="00E94C49">
      <w:pPr>
        <w:pStyle w:val="Heading2"/>
      </w:pPr>
    </w:p>
    <w:p w:rsidR="00E94C49" w:rsidRDefault="00E94C49">
      <w:pPr>
        <w:jc w:val="both"/>
        <w:rPr>
          <w:rFonts w:ascii="Times New Roman" w:hAnsi="Times New Roman"/>
          <w:i/>
          <w:sz w:val="24"/>
        </w:rPr>
      </w:pPr>
      <w:r>
        <w:rPr>
          <w:rFonts w:ascii="Times New Roman" w:hAnsi="Times New Roman"/>
          <w:i/>
          <w:sz w:val="24"/>
        </w:rPr>
        <w:t>Monthly Variation</w:t>
      </w:r>
    </w:p>
    <w:p w:rsidR="00E94C49" w:rsidRDefault="00E94C49">
      <w:pPr>
        <w:jc w:val="both"/>
        <w:rPr>
          <w:rFonts w:ascii="Times New Roman" w:hAnsi="Times New Roman"/>
          <w:sz w:val="24"/>
        </w:rPr>
      </w:pPr>
    </w:p>
    <w:p w:rsidR="00E94C49" w:rsidRDefault="00E94C49">
      <w:pPr>
        <w:jc w:val="both"/>
        <w:rPr>
          <w:rFonts w:ascii="Times New Roman" w:hAnsi="Times New Roman"/>
          <w:sz w:val="24"/>
        </w:rPr>
      </w:pPr>
      <w:r>
        <w:rPr>
          <w:rFonts w:ascii="Times New Roman" w:hAnsi="Times New Roman"/>
          <w:sz w:val="24"/>
        </w:rPr>
        <w:t xml:space="preserve">Monthly variation of emissions was based on the monthly </w:t>
      </w:r>
      <w:smartTag w:uri="urn:schemas-microsoft-com:office:smarttags" w:element="State">
        <w:smartTag w:uri="urn:schemas-microsoft-com:office:smarttags" w:element="PersonName">
          <w:r>
            <w:rPr>
              <w:rFonts w:ascii="Times New Roman" w:hAnsi="Times New Roman"/>
              <w:sz w:val="24"/>
            </w:rPr>
            <w:t>California</w:t>
          </w:r>
        </w:smartTag>
      </w:smartTag>
      <w:r>
        <w:rPr>
          <w:rFonts w:ascii="Times New Roman" w:hAnsi="Times New Roman"/>
          <w:sz w:val="24"/>
        </w:rPr>
        <w:t xml:space="preserve"> taxable gasoline data from the Board of Equalization.</w:t>
      </w:r>
    </w:p>
    <w:p w:rsidR="00E94C49" w:rsidRDefault="00E94C49">
      <w:pPr>
        <w:jc w:val="both"/>
        <w:rPr>
          <w:rFonts w:ascii="Times New Roman" w:hAnsi="Times New Roman"/>
          <w:sz w:val="24"/>
        </w:rPr>
      </w:pPr>
    </w:p>
    <w:p w:rsidR="00E94C49" w:rsidRDefault="00E94C49">
      <w:pPr>
        <w:jc w:val="both"/>
        <w:rPr>
          <w:rFonts w:ascii="Times New Roman" w:hAnsi="Times New Roman"/>
          <w:i/>
          <w:sz w:val="24"/>
        </w:rPr>
      </w:pPr>
      <w:smartTag w:uri="urn:schemas-microsoft-com:office:smarttags" w:element="PersonName">
        <w:smartTag w:uri="urn:schemas-microsoft-com:office:smarttags" w:element="PlaceType">
          <w:r>
            <w:rPr>
              <w:rFonts w:ascii="Times New Roman" w:hAnsi="Times New Roman"/>
              <w:i/>
              <w:sz w:val="24"/>
            </w:rPr>
            <w:t>County</w:t>
          </w:r>
        </w:smartTag>
        <w:r>
          <w:rPr>
            <w:rFonts w:ascii="Times New Roman" w:hAnsi="Times New Roman"/>
            <w:i/>
            <w:sz w:val="24"/>
          </w:rPr>
          <w:t xml:space="preserve"> </w:t>
        </w:r>
        <w:smartTag w:uri="urn:schemas-microsoft-com:office:smarttags" w:element="PlaceName">
          <w:r>
            <w:rPr>
              <w:rFonts w:ascii="Times New Roman" w:hAnsi="Times New Roman"/>
              <w:i/>
              <w:sz w:val="24"/>
            </w:rPr>
            <w:t>Distribution</w:t>
          </w:r>
        </w:smartTag>
      </w:smartTag>
    </w:p>
    <w:p w:rsidR="00E94C49" w:rsidRDefault="00E94C49">
      <w:pPr>
        <w:jc w:val="both"/>
        <w:rPr>
          <w:rFonts w:ascii="Times New Roman" w:hAnsi="Times New Roman"/>
          <w:sz w:val="24"/>
        </w:rPr>
      </w:pPr>
    </w:p>
    <w:p w:rsidR="00E94C49" w:rsidRDefault="00E94C49">
      <w:pPr>
        <w:jc w:val="both"/>
        <w:rPr>
          <w:rFonts w:ascii="Times New Roman" w:hAnsi="Times New Roman"/>
          <w:sz w:val="24"/>
        </w:rPr>
      </w:pPr>
      <w:r>
        <w:rPr>
          <w:rFonts w:ascii="Times New Roman" w:hAnsi="Times New Roman"/>
          <w:sz w:val="24"/>
        </w:rPr>
        <w:lastRenderedPageBreak/>
        <w:t>County household population from ABAG</w:t>
      </w:r>
      <w:r w:rsidR="003B63DA">
        <w:rPr>
          <w:rFonts w:ascii="Times New Roman" w:hAnsi="Times New Roman"/>
          <w:sz w:val="24"/>
        </w:rPr>
        <w:t>’s 2009 Projections</w:t>
      </w:r>
      <w:r>
        <w:rPr>
          <w:rFonts w:ascii="Times New Roman" w:hAnsi="Times New Roman"/>
          <w:sz w:val="24"/>
        </w:rPr>
        <w:t xml:space="preserve"> was used to distribute emissions for each county.</w:t>
      </w:r>
    </w:p>
    <w:p w:rsidR="00E94C49" w:rsidRDefault="00E94C49">
      <w:pPr>
        <w:jc w:val="both"/>
        <w:rPr>
          <w:rFonts w:ascii="Times New Roman" w:hAnsi="Times New Roman"/>
          <w:sz w:val="24"/>
        </w:rPr>
      </w:pPr>
    </w:p>
    <w:p w:rsidR="00E94C49" w:rsidRDefault="00E94C49">
      <w:pPr>
        <w:jc w:val="both"/>
        <w:rPr>
          <w:rFonts w:ascii="Times New Roman" w:hAnsi="Times New Roman"/>
          <w:b/>
          <w:sz w:val="24"/>
        </w:rPr>
      </w:pPr>
      <w:r>
        <w:rPr>
          <w:rFonts w:ascii="Times New Roman" w:hAnsi="Times New Roman"/>
          <w:sz w:val="24"/>
        </w:rPr>
        <w:t xml:space="preserve"> </w:t>
      </w:r>
      <w:r>
        <w:rPr>
          <w:rFonts w:ascii="Times New Roman" w:hAnsi="Times New Roman"/>
          <w:b/>
          <w:sz w:val="24"/>
        </w:rPr>
        <w:t xml:space="preserve">TRENDS  </w:t>
      </w:r>
    </w:p>
    <w:p w:rsidR="00E94C49" w:rsidRDefault="00E94C49">
      <w:pPr>
        <w:jc w:val="both"/>
        <w:rPr>
          <w:rFonts w:ascii="Times New Roman" w:hAnsi="Times New Roman"/>
          <w:b/>
          <w:sz w:val="24"/>
        </w:rPr>
      </w:pPr>
    </w:p>
    <w:p w:rsidR="00E94C49" w:rsidRDefault="00E94C49">
      <w:pPr>
        <w:jc w:val="both"/>
        <w:rPr>
          <w:rFonts w:ascii="Times New Roman" w:hAnsi="Times New Roman"/>
          <w:i/>
          <w:sz w:val="24"/>
        </w:rPr>
      </w:pPr>
      <w:r>
        <w:rPr>
          <w:rFonts w:ascii="Times New Roman" w:hAnsi="Times New Roman"/>
          <w:i/>
          <w:sz w:val="24"/>
        </w:rPr>
        <w:t>History</w:t>
      </w:r>
    </w:p>
    <w:p w:rsidR="00E94C49" w:rsidRDefault="00E94C49">
      <w:pPr>
        <w:jc w:val="both"/>
        <w:rPr>
          <w:rFonts w:ascii="Times New Roman" w:hAnsi="Times New Roman"/>
          <w:b/>
          <w:sz w:val="24"/>
        </w:rPr>
      </w:pPr>
    </w:p>
    <w:p w:rsidR="008004D9" w:rsidRDefault="008004D9" w:rsidP="008004D9">
      <w:pPr>
        <w:pStyle w:val="BodyText3"/>
      </w:pPr>
      <w:r>
        <w:t>The MSCD survey indicated that 1,975,741 units of residential and commercial portable fuel container were sold in 1998. Assumed 20 percent of these units are sold in the Bay Area. This figure was derived from Bay Area household population compared to statewide data. CARB has grouped the various sizes of portable fuel containers into three categories as shown in Table 1.</w:t>
      </w:r>
    </w:p>
    <w:p w:rsidR="008004D9" w:rsidRDefault="008004D9" w:rsidP="008004D9">
      <w:pPr>
        <w:pStyle w:val="BodyText3"/>
      </w:pPr>
    </w:p>
    <w:p w:rsidR="008004D9" w:rsidRDefault="008004D9" w:rsidP="008004D9">
      <w:pPr>
        <w:pStyle w:val="Heading2"/>
      </w:pPr>
      <w:r>
        <w:t>Table 1 – 1998 Statewide Residential and Commercial Sales Data</w:t>
      </w:r>
    </w:p>
    <w:p w:rsidR="008004D9" w:rsidRPr="00D869C5" w:rsidRDefault="008004D9" w:rsidP="008004D9"/>
    <w:tbl>
      <w:tblPr>
        <w:tblW w:w="0" w:type="auto"/>
        <w:tblInd w:w="3600" w:type="dxa"/>
        <w:tblBorders>
          <w:top w:val="single" w:sz="6" w:space="0" w:color="auto"/>
          <w:left w:val="single" w:sz="6" w:space="0" w:color="auto"/>
          <w:bottom w:val="single" w:sz="6" w:space="0" w:color="auto"/>
          <w:right w:val="single" w:sz="6" w:space="0" w:color="auto"/>
        </w:tblBorders>
        <w:tblLayout w:type="fixed"/>
        <w:tblCellMar>
          <w:left w:w="30" w:type="dxa"/>
          <w:right w:w="30" w:type="dxa"/>
        </w:tblCellMar>
        <w:tblLook w:val="0000" w:firstRow="0" w:lastRow="0" w:firstColumn="0" w:lastColumn="0" w:noHBand="0" w:noVBand="0"/>
      </w:tblPr>
      <w:tblGrid>
        <w:gridCol w:w="1650"/>
        <w:gridCol w:w="1710"/>
      </w:tblGrid>
      <w:tr w:rsidR="008004D9" w:rsidTr="00A07106">
        <w:trPr>
          <w:trHeight w:val="642"/>
        </w:trPr>
        <w:tc>
          <w:tcPr>
            <w:tcW w:w="1650" w:type="dxa"/>
            <w:tcBorders>
              <w:top w:val="single" w:sz="6" w:space="0" w:color="auto"/>
              <w:bottom w:val="single" w:sz="6" w:space="0" w:color="auto"/>
              <w:right w:val="nil"/>
            </w:tcBorders>
            <w:shd w:val="pct5" w:color="auto" w:fill="auto"/>
          </w:tcPr>
          <w:p w:rsidR="008004D9" w:rsidRDefault="008004D9" w:rsidP="00A07106">
            <w:pPr>
              <w:jc w:val="center"/>
              <w:rPr>
                <w:rFonts w:ascii="Times New Roman" w:hAnsi="Times New Roman"/>
                <w:snapToGrid w:val="0"/>
                <w:color w:val="000000"/>
                <w:sz w:val="24"/>
              </w:rPr>
            </w:pPr>
            <w:r>
              <w:rPr>
                <w:rFonts w:ascii="Times New Roman" w:hAnsi="Times New Roman"/>
                <w:snapToGrid w:val="0"/>
                <w:color w:val="000000"/>
                <w:sz w:val="24"/>
              </w:rPr>
              <w:t>Container Sizes (gallons)</w:t>
            </w:r>
          </w:p>
        </w:tc>
        <w:tc>
          <w:tcPr>
            <w:tcW w:w="1710" w:type="dxa"/>
            <w:tcBorders>
              <w:top w:val="single" w:sz="6" w:space="0" w:color="auto"/>
              <w:left w:val="single" w:sz="6" w:space="0" w:color="auto"/>
              <w:bottom w:val="single" w:sz="6" w:space="0" w:color="auto"/>
            </w:tcBorders>
            <w:shd w:val="pct5" w:color="auto" w:fill="auto"/>
          </w:tcPr>
          <w:p w:rsidR="008004D9" w:rsidRDefault="008004D9" w:rsidP="00A07106">
            <w:pPr>
              <w:jc w:val="center"/>
              <w:rPr>
                <w:rFonts w:ascii="Times New Roman" w:hAnsi="Times New Roman"/>
                <w:snapToGrid w:val="0"/>
                <w:color w:val="000000"/>
                <w:sz w:val="24"/>
              </w:rPr>
            </w:pPr>
            <w:r>
              <w:rPr>
                <w:rFonts w:ascii="Times New Roman" w:hAnsi="Times New Roman"/>
                <w:snapToGrid w:val="0"/>
                <w:color w:val="000000"/>
                <w:sz w:val="24"/>
              </w:rPr>
              <w:t>Annual Unit Statewide Sales</w:t>
            </w:r>
          </w:p>
        </w:tc>
      </w:tr>
      <w:tr w:rsidR="008004D9" w:rsidTr="00A07106">
        <w:trPr>
          <w:trHeight w:val="250"/>
        </w:trPr>
        <w:tc>
          <w:tcPr>
            <w:tcW w:w="1650" w:type="dxa"/>
            <w:tcBorders>
              <w:top w:val="nil"/>
              <w:right w:val="nil"/>
            </w:tcBorders>
          </w:tcPr>
          <w:p w:rsidR="008004D9" w:rsidRDefault="008004D9" w:rsidP="00A07106">
            <w:pPr>
              <w:jc w:val="center"/>
              <w:rPr>
                <w:rFonts w:ascii="Times New Roman" w:hAnsi="Times New Roman"/>
                <w:snapToGrid w:val="0"/>
                <w:color w:val="000000"/>
                <w:sz w:val="24"/>
              </w:rPr>
            </w:pPr>
            <w:r>
              <w:rPr>
                <w:rFonts w:ascii="Times New Roman" w:hAnsi="Times New Roman"/>
                <w:snapToGrid w:val="0"/>
                <w:color w:val="000000"/>
                <w:sz w:val="24"/>
              </w:rPr>
              <w:t>1 - 1.5</w:t>
            </w:r>
          </w:p>
        </w:tc>
        <w:tc>
          <w:tcPr>
            <w:tcW w:w="1710" w:type="dxa"/>
            <w:tcBorders>
              <w:top w:val="nil"/>
              <w:left w:val="single" w:sz="6" w:space="0" w:color="auto"/>
            </w:tcBorders>
          </w:tcPr>
          <w:p w:rsidR="008004D9" w:rsidRDefault="008004D9" w:rsidP="00A07106">
            <w:pPr>
              <w:jc w:val="center"/>
              <w:rPr>
                <w:rFonts w:ascii="Times New Roman" w:hAnsi="Times New Roman"/>
                <w:snapToGrid w:val="0"/>
                <w:color w:val="000000"/>
                <w:sz w:val="24"/>
              </w:rPr>
            </w:pPr>
            <w:r>
              <w:rPr>
                <w:rFonts w:ascii="Times New Roman" w:hAnsi="Times New Roman"/>
                <w:snapToGrid w:val="0"/>
                <w:color w:val="000000"/>
                <w:sz w:val="24"/>
              </w:rPr>
              <w:t xml:space="preserve">  773,930</w:t>
            </w:r>
          </w:p>
        </w:tc>
      </w:tr>
      <w:tr w:rsidR="008004D9" w:rsidTr="00A07106">
        <w:trPr>
          <w:trHeight w:val="250"/>
        </w:trPr>
        <w:tc>
          <w:tcPr>
            <w:tcW w:w="1650" w:type="dxa"/>
            <w:tcBorders>
              <w:right w:val="nil"/>
            </w:tcBorders>
          </w:tcPr>
          <w:p w:rsidR="008004D9" w:rsidRDefault="008004D9" w:rsidP="00A07106">
            <w:pPr>
              <w:jc w:val="center"/>
              <w:rPr>
                <w:rFonts w:ascii="Times New Roman" w:hAnsi="Times New Roman"/>
                <w:snapToGrid w:val="0"/>
                <w:color w:val="000000"/>
                <w:sz w:val="24"/>
              </w:rPr>
            </w:pPr>
            <w:r>
              <w:rPr>
                <w:rFonts w:ascii="Times New Roman" w:hAnsi="Times New Roman"/>
                <w:snapToGrid w:val="0"/>
                <w:color w:val="000000"/>
                <w:sz w:val="24"/>
              </w:rPr>
              <w:t>2 - 2.5</w:t>
            </w:r>
          </w:p>
        </w:tc>
        <w:tc>
          <w:tcPr>
            <w:tcW w:w="1710" w:type="dxa"/>
            <w:tcBorders>
              <w:left w:val="single" w:sz="6" w:space="0" w:color="auto"/>
            </w:tcBorders>
          </w:tcPr>
          <w:p w:rsidR="008004D9" w:rsidRDefault="008004D9" w:rsidP="00A07106">
            <w:pPr>
              <w:jc w:val="center"/>
              <w:rPr>
                <w:rFonts w:ascii="Times New Roman" w:hAnsi="Times New Roman"/>
                <w:snapToGrid w:val="0"/>
                <w:color w:val="000000"/>
                <w:sz w:val="24"/>
              </w:rPr>
            </w:pPr>
            <w:r>
              <w:rPr>
                <w:rFonts w:ascii="Times New Roman" w:hAnsi="Times New Roman"/>
                <w:snapToGrid w:val="0"/>
                <w:color w:val="000000"/>
                <w:sz w:val="24"/>
              </w:rPr>
              <w:t xml:space="preserve">  704,137</w:t>
            </w:r>
          </w:p>
        </w:tc>
      </w:tr>
      <w:tr w:rsidR="008004D9" w:rsidTr="00A07106">
        <w:trPr>
          <w:trHeight w:val="250"/>
        </w:trPr>
        <w:tc>
          <w:tcPr>
            <w:tcW w:w="1650" w:type="dxa"/>
            <w:tcBorders>
              <w:bottom w:val="nil"/>
              <w:right w:val="nil"/>
            </w:tcBorders>
          </w:tcPr>
          <w:p w:rsidR="008004D9" w:rsidRDefault="008004D9" w:rsidP="00A07106">
            <w:pPr>
              <w:jc w:val="center"/>
              <w:rPr>
                <w:rFonts w:ascii="Times New Roman" w:hAnsi="Times New Roman"/>
                <w:snapToGrid w:val="0"/>
                <w:color w:val="000000"/>
                <w:sz w:val="24"/>
              </w:rPr>
            </w:pPr>
            <w:r>
              <w:rPr>
                <w:rFonts w:ascii="Times New Roman" w:hAnsi="Times New Roman"/>
                <w:snapToGrid w:val="0"/>
                <w:color w:val="000000"/>
                <w:sz w:val="24"/>
              </w:rPr>
              <w:t>5 – 6</w:t>
            </w:r>
          </w:p>
        </w:tc>
        <w:tc>
          <w:tcPr>
            <w:tcW w:w="1710" w:type="dxa"/>
            <w:tcBorders>
              <w:left w:val="single" w:sz="6" w:space="0" w:color="auto"/>
              <w:bottom w:val="nil"/>
            </w:tcBorders>
          </w:tcPr>
          <w:p w:rsidR="008004D9" w:rsidRDefault="008004D9" w:rsidP="00A07106">
            <w:pPr>
              <w:jc w:val="center"/>
              <w:rPr>
                <w:rFonts w:ascii="Times New Roman" w:hAnsi="Times New Roman"/>
                <w:snapToGrid w:val="0"/>
                <w:color w:val="000000"/>
                <w:sz w:val="24"/>
              </w:rPr>
            </w:pPr>
            <w:r>
              <w:rPr>
                <w:rFonts w:ascii="Times New Roman" w:hAnsi="Times New Roman"/>
                <w:snapToGrid w:val="0"/>
                <w:color w:val="000000"/>
                <w:sz w:val="24"/>
              </w:rPr>
              <w:t xml:space="preserve">  497,674</w:t>
            </w:r>
          </w:p>
        </w:tc>
      </w:tr>
      <w:tr w:rsidR="008004D9" w:rsidTr="00A07106">
        <w:trPr>
          <w:trHeight w:val="250"/>
        </w:trPr>
        <w:tc>
          <w:tcPr>
            <w:tcW w:w="1650" w:type="dxa"/>
            <w:tcBorders>
              <w:top w:val="single" w:sz="6" w:space="0" w:color="auto"/>
              <w:bottom w:val="single" w:sz="6" w:space="0" w:color="auto"/>
              <w:right w:val="nil"/>
            </w:tcBorders>
          </w:tcPr>
          <w:p w:rsidR="008004D9" w:rsidRDefault="008004D9" w:rsidP="00A07106">
            <w:pPr>
              <w:jc w:val="center"/>
              <w:rPr>
                <w:rFonts w:ascii="Times New Roman" w:hAnsi="Times New Roman"/>
                <w:snapToGrid w:val="0"/>
                <w:color w:val="000000"/>
                <w:sz w:val="24"/>
              </w:rPr>
            </w:pPr>
            <w:r>
              <w:rPr>
                <w:rFonts w:ascii="Times New Roman" w:hAnsi="Times New Roman"/>
                <w:snapToGrid w:val="0"/>
                <w:color w:val="000000"/>
                <w:sz w:val="24"/>
              </w:rPr>
              <w:t>Total</w:t>
            </w:r>
          </w:p>
        </w:tc>
        <w:tc>
          <w:tcPr>
            <w:tcW w:w="1710" w:type="dxa"/>
            <w:tcBorders>
              <w:top w:val="single" w:sz="6" w:space="0" w:color="auto"/>
              <w:left w:val="single" w:sz="6" w:space="0" w:color="auto"/>
              <w:bottom w:val="single" w:sz="6" w:space="0" w:color="auto"/>
            </w:tcBorders>
          </w:tcPr>
          <w:p w:rsidR="008004D9" w:rsidRDefault="008004D9" w:rsidP="00A07106">
            <w:pPr>
              <w:jc w:val="center"/>
              <w:rPr>
                <w:rFonts w:ascii="Times New Roman" w:hAnsi="Times New Roman"/>
                <w:snapToGrid w:val="0"/>
                <w:color w:val="000000"/>
                <w:sz w:val="24"/>
              </w:rPr>
            </w:pPr>
            <w:r>
              <w:rPr>
                <w:rFonts w:ascii="Times New Roman" w:hAnsi="Times New Roman"/>
                <w:snapToGrid w:val="0"/>
                <w:color w:val="000000"/>
                <w:sz w:val="24"/>
              </w:rPr>
              <w:t>1,975,741</w:t>
            </w:r>
          </w:p>
        </w:tc>
      </w:tr>
    </w:tbl>
    <w:p w:rsidR="008004D9" w:rsidRDefault="008004D9" w:rsidP="008004D9">
      <w:pPr>
        <w:pStyle w:val="Heading7"/>
        <w:jc w:val="both"/>
      </w:pPr>
    </w:p>
    <w:p w:rsidR="00E94C49" w:rsidRDefault="00E94C49">
      <w:pPr>
        <w:jc w:val="both"/>
        <w:rPr>
          <w:rFonts w:ascii="Times New Roman" w:hAnsi="Times New Roman"/>
          <w:i/>
          <w:sz w:val="24"/>
        </w:rPr>
      </w:pPr>
      <w:r>
        <w:rPr>
          <w:rFonts w:ascii="Times New Roman" w:hAnsi="Times New Roman"/>
          <w:i/>
          <w:sz w:val="24"/>
        </w:rPr>
        <w:t>Growth</w:t>
      </w:r>
    </w:p>
    <w:p w:rsidR="00822CF2" w:rsidRDefault="00822CF2">
      <w:pPr>
        <w:jc w:val="both"/>
        <w:rPr>
          <w:rFonts w:ascii="Times New Roman" w:hAnsi="Times New Roman"/>
          <w:i/>
          <w:sz w:val="24"/>
        </w:rPr>
      </w:pPr>
    </w:p>
    <w:p w:rsidR="00822CF2" w:rsidRDefault="00957781" w:rsidP="00822CF2">
      <w:pPr>
        <w:pStyle w:val="Heading2"/>
        <w:jc w:val="left"/>
      </w:pPr>
      <w:r>
        <w:t>ARB projected</w:t>
      </w:r>
      <w:r w:rsidR="00822CF2">
        <w:t xml:space="preserve"> ROG emissions from portable fuel co</w:t>
      </w:r>
      <w:r w:rsidR="003E236D">
        <w:t>ntainers are listed in the data section.</w:t>
      </w:r>
    </w:p>
    <w:p w:rsidR="00822CF2" w:rsidRDefault="00822CF2">
      <w:pPr>
        <w:pStyle w:val="Heading4"/>
      </w:pPr>
    </w:p>
    <w:p w:rsidR="00E94C49" w:rsidRDefault="00E94C49">
      <w:pPr>
        <w:pStyle w:val="Heading4"/>
      </w:pPr>
      <w:r>
        <w:t>Control</w:t>
      </w:r>
    </w:p>
    <w:p w:rsidR="00E94C49" w:rsidRDefault="00E94C49">
      <w:pPr>
        <w:jc w:val="both"/>
        <w:rPr>
          <w:rFonts w:ascii="Times New Roman" w:hAnsi="Times New Roman"/>
          <w:sz w:val="24"/>
        </w:rPr>
      </w:pPr>
    </w:p>
    <w:p w:rsidR="006D20F6" w:rsidRDefault="00E94C49" w:rsidP="006D20F6">
      <w:pPr>
        <w:jc w:val="both"/>
        <w:rPr>
          <w:rFonts w:ascii="Times New Roman" w:hAnsi="Times New Roman"/>
          <w:sz w:val="24"/>
        </w:rPr>
      </w:pPr>
      <w:r>
        <w:rPr>
          <w:rFonts w:ascii="Times New Roman" w:hAnsi="Times New Roman"/>
          <w:sz w:val="24"/>
        </w:rPr>
        <w:t xml:space="preserve">On September 11, 2000, CARB regulated all portable fuel containers manufactured for sale and use in </w:t>
      </w:r>
      <w:smartTag w:uri="urn:schemas-microsoft-com:office:smarttags" w:element="State">
        <w:smartTag w:uri="urn:schemas-microsoft-com:office:smarttags" w:element="PersonName">
          <w:r>
            <w:rPr>
              <w:rFonts w:ascii="Times New Roman" w:hAnsi="Times New Roman"/>
              <w:sz w:val="24"/>
            </w:rPr>
            <w:t>California</w:t>
          </w:r>
        </w:smartTag>
      </w:smartTag>
      <w:r w:rsidR="00F738CA">
        <w:rPr>
          <w:rFonts w:ascii="Times New Roman" w:hAnsi="Times New Roman"/>
          <w:sz w:val="24"/>
        </w:rPr>
        <w:t xml:space="preserve">. </w:t>
      </w:r>
      <w:r w:rsidR="00B02BFF">
        <w:rPr>
          <w:rFonts w:ascii="Times New Roman" w:hAnsi="Times New Roman"/>
          <w:sz w:val="24"/>
        </w:rPr>
        <w:t>This</w:t>
      </w:r>
      <w:r w:rsidR="00CF512E">
        <w:rPr>
          <w:rFonts w:ascii="Times New Roman" w:hAnsi="Times New Roman"/>
          <w:sz w:val="24"/>
        </w:rPr>
        <w:t xml:space="preserve"> regulation</w:t>
      </w:r>
      <w:r>
        <w:rPr>
          <w:rFonts w:ascii="Times New Roman" w:hAnsi="Times New Roman"/>
          <w:sz w:val="24"/>
        </w:rPr>
        <w:t xml:space="preserve"> require</w:t>
      </w:r>
      <w:r w:rsidR="00B02BFF">
        <w:rPr>
          <w:rFonts w:ascii="Times New Roman" w:hAnsi="Times New Roman"/>
          <w:sz w:val="24"/>
        </w:rPr>
        <w:t>d</w:t>
      </w:r>
      <w:r>
        <w:rPr>
          <w:rFonts w:ascii="Times New Roman" w:hAnsi="Times New Roman"/>
          <w:sz w:val="24"/>
        </w:rPr>
        <w:t xml:space="preserve"> all portable containers and spou</w:t>
      </w:r>
      <w:r w:rsidR="00F74EFB">
        <w:rPr>
          <w:rFonts w:ascii="Times New Roman" w:hAnsi="Times New Roman"/>
          <w:sz w:val="24"/>
        </w:rPr>
        <w:t xml:space="preserve">ts </w:t>
      </w:r>
      <w:r w:rsidR="00F738CA">
        <w:rPr>
          <w:rFonts w:ascii="Times New Roman" w:hAnsi="Times New Roman"/>
          <w:sz w:val="24"/>
        </w:rPr>
        <w:t>to</w:t>
      </w:r>
      <w:r>
        <w:rPr>
          <w:rFonts w:ascii="Times New Roman" w:hAnsi="Times New Roman"/>
          <w:sz w:val="24"/>
        </w:rPr>
        <w:t xml:space="preserve"> have an automatic shut-off feature to prevent overfilling of power equipm</w:t>
      </w:r>
      <w:r w:rsidR="00F738CA">
        <w:rPr>
          <w:rFonts w:ascii="Times New Roman" w:hAnsi="Times New Roman"/>
          <w:sz w:val="24"/>
        </w:rPr>
        <w:t xml:space="preserve">ent fuel tanks. The spouts should also </w:t>
      </w:r>
      <w:r>
        <w:rPr>
          <w:rFonts w:ascii="Times New Roman" w:hAnsi="Times New Roman"/>
          <w:sz w:val="24"/>
        </w:rPr>
        <w:t>have an automatic cl</w:t>
      </w:r>
      <w:r w:rsidR="00F738CA">
        <w:rPr>
          <w:rFonts w:ascii="Times New Roman" w:hAnsi="Times New Roman"/>
          <w:sz w:val="24"/>
        </w:rPr>
        <w:t xml:space="preserve">osing feature so the </w:t>
      </w:r>
      <w:r w:rsidR="008004D9">
        <w:rPr>
          <w:rFonts w:ascii="Times New Roman" w:hAnsi="Times New Roman"/>
          <w:sz w:val="24"/>
        </w:rPr>
        <w:t>portable fuel container</w:t>
      </w:r>
      <w:r w:rsidR="00F738CA">
        <w:rPr>
          <w:rFonts w:ascii="Times New Roman" w:hAnsi="Times New Roman"/>
          <w:sz w:val="24"/>
        </w:rPr>
        <w:t xml:space="preserve"> would be sealed when not in</w:t>
      </w:r>
      <w:r>
        <w:rPr>
          <w:rFonts w:ascii="Times New Roman" w:hAnsi="Times New Roman"/>
          <w:sz w:val="24"/>
        </w:rPr>
        <w:t xml:space="preserve"> use</w:t>
      </w:r>
      <w:r w:rsidR="00F74EFB">
        <w:rPr>
          <w:rFonts w:ascii="Times New Roman" w:hAnsi="Times New Roman"/>
          <w:sz w:val="24"/>
        </w:rPr>
        <w:t xml:space="preserve">. </w:t>
      </w:r>
      <w:r w:rsidR="00B02BFF">
        <w:rPr>
          <w:rFonts w:ascii="Times New Roman" w:hAnsi="Times New Roman"/>
          <w:sz w:val="24"/>
        </w:rPr>
        <w:t>This gas can regulation prevented</w:t>
      </w:r>
      <w:r w:rsidR="002B5E7F">
        <w:rPr>
          <w:rFonts w:ascii="Times New Roman" w:hAnsi="Times New Roman"/>
          <w:sz w:val="24"/>
        </w:rPr>
        <w:t xml:space="preserve"> spills during equipment fueling and evaporation during fuel storage. </w:t>
      </w:r>
      <w:r w:rsidR="006D20F6">
        <w:rPr>
          <w:rFonts w:ascii="Times New Roman" w:hAnsi="Times New Roman"/>
          <w:sz w:val="24"/>
        </w:rPr>
        <w:t>CARB estimate</w:t>
      </w:r>
      <w:r w:rsidR="00A417C0">
        <w:rPr>
          <w:rFonts w:ascii="Times New Roman" w:hAnsi="Times New Roman"/>
          <w:sz w:val="24"/>
        </w:rPr>
        <w:t>d</w:t>
      </w:r>
      <w:r w:rsidR="006D20F6">
        <w:rPr>
          <w:rFonts w:ascii="Times New Roman" w:hAnsi="Times New Roman"/>
          <w:sz w:val="24"/>
        </w:rPr>
        <w:t xml:space="preserve"> an overall reduction of 3</w:t>
      </w:r>
      <w:r w:rsidR="006D20F6">
        <w:rPr>
          <w:rFonts w:ascii="Times New Roman" w:hAnsi="Times New Roman"/>
          <w:sz w:val="24"/>
          <w:szCs w:val="24"/>
        </w:rPr>
        <w:t xml:space="preserve"> </w:t>
      </w:r>
      <w:r w:rsidR="006D20F6" w:rsidRPr="00CF512E">
        <w:rPr>
          <w:rFonts w:ascii="Times New Roman" w:hAnsi="Times New Roman"/>
          <w:sz w:val="24"/>
          <w:szCs w:val="24"/>
        </w:rPr>
        <w:t>tons per day</w:t>
      </w:r>
      <w:r w:rsidR="00805C04">
        <w:rPr>
          <w:rFonts w:ascii="Times New Roman" w:hAnsi="Times New Roman"/>
          <w:sz w:val="24"/>
        </w:rPr>
        <w:t xml:space="preserve"> (approximately 30 percent compared to</w:t>
      </w:r>
      <w:r w:rsidR="006D20F6">
        <w:rPr>
          <w:rFonts w:ascii="Times New Roman" w:hAnsi="Times New Roman"/>
          <w:sz w:val="24"/>
        </w:rPr>
        <w:t xml:space="preserve"> previous estimates</w:t>
      </w:r>
      <w:r w:rsidR="006D20F6">
        <w:rPr>
          <w:rFonts w:ascii="Times New Roman" w:hAnsi="Times New Roman"/>
          <w:sz w:val="24"/>
          <w:szCs w:val="24"/>
        </w:rPr>
        <w:t xml:space="preserve">) </w:t>
      </w:r>
      <w:r w:rsidR="006D20F6">
        <w:rPr>
          <w:rFonts w:ascii="Times New Roman" w:hAnsi="Times New Roman"/>
          <w:sz w:val="24"/>
        </w:rPr>
        <w:t>in ROG emissions if this</w:t>
      </w:r>
      <w:r w:rsidR="00A417C0">
        <w:rPr>
          <w:rFonts w:ascii="Times New Roman" w:hAnsi="Times New Roman"/>
          <w:sz w:val="24"/>
        </w:rPr>
        <w:t xml:space="preserve"> regulation was</w:t>
      </w:r>
      <w:r w:rsidR="006D20F6">
        <w:rPr>
          <w:rFonts w:ascii="Times New Roman" w:hAnsi="Times New Roman"/>
          <w:sz w:val="24"/>
        </w:rPr>
        <w:t xml:space="preserve"> fully implemented by 2005. </w:t>
      </w:r>
    </w:p>
    <w:p w:rsidR="00CE28CE" w:rsidRDefault="00CE28CE">
      <w:pPr>
        <w:jc w:val="both"/>
        <w:rPr>
          <w:rFonts w:ascii="Times New Roman" w:hAnsi="Times New Roman"/>
          <w:sz w:val="24"/>
        </w:rPr>
      </w:pPr>
    </w:p>
    <w:p w:rsidR="00E15160" w:rsidRDefault="00F55998" w:rsidP="00E15160">
      <w:pPr>
        <w:jc w:val="both"/>
        <w:rPr>
          <w:rFonts w:ascii="Times New Roman" w:hAnsi="Times New Roman"/>
          <w:sz w:val="24"/>
        </w:rPr>
      </w:pPr>
      <w:r>
        <w:rPr>
          <w:rFonts w:ascii="Times New Roman" w:hAnsi="Times New Roman"/>
          <w:sz w:val="24"/>
        </w:rPr>
        <w:t xml:space="preserve">By:     </w:t>
      </w:r>
      <w:r w:rsidR="00E15160">
        <w:rPr>
          <w:rFonts w:ascii="Times New Roman" w:hAnsi="Times New Roman"/>
          <w:sz w:val="24"/>
        </w:rPr>
        <w:t>Michael Nguyen</w:t>
      </w:r>
    </w:p>
    <w:p w:rsidR="00F55998" w:rsidRPr="00846B66" w:rsidRDefault="00F55998" w:rsidP="00F55998">
      <w:pPr>
        <w:tabs>
          <w:tab w:val="left" w:pos="630"/>
        </w:tabs>
        <w:rPr>
          <w:rFonts w:ascii="Times New Roman" w:hAnsi="Times New Roman"/>
          <w:sz w:val="24"/>
          <w:szCs w:val="24"/>
        </w:rPr>
      </w:pPr>
      <w:r w:rsidRPr="00846B66">
        <w:rPr>
          <w:rFonts w:ascii="Times New Roman" w:hAnsi="Times New Roman"/>
          <w:sz w:val="24"/>
          <w:szCs w:val="24"/>
        </w:rPr>
        <w:t>Date:</w:t>
      </w:r>
      <w:r w:rsidRPr="00846B66">
        <w:rPr>
          <w:rFonts w:ascii="Times New Roman" w:hAnsi="Times New Roman"/>
          <w:sz w:val="24"/>
          <w:szCs w:val="24"/>
        </w:rPr>
        <w:tab/>
      </w:r>
      <w:r w:rsidR="008004D9">
        <w:rPr>
          <w:rFonts w:ascii="Times New Roman" w:hAnsi="Times New Roman"/>
          <w:sz w:val="24"/>
          <w:szCs w:val="24"/>
        </w:rPr>
        <w:t>January, 2014</w:t>
      </w:r>
    </w:p>
    <w:p w:rsidR="00F55998" w:rsidRDefault="008004D9" w:rsidP="00F55998">
      <w:pPr>
        <w:jc w:val="both"/>
        <w:rPr>
          <w:rFonts w:ascii="Times New Roman" w:hAnsi="Times New Roman"/>
          <w:sz w:val="24"/>
          <w:szCs w:val="24"/>
        </w:rPr>
      </w:pPr>
      <w:r>
        <w:rPr>
          <w:rFonts w:ascii="Times New Roman" w:hAnsi="Times New Roman"/>
          <w:sz w:val="24"/>
          <w:szCs w:val="24"/>
        </w:rPr>
        <w:t>Base Year 2011</w:t>
      </w:r>
    </w:p>
    <w:p w:rsidR="00F55998" w:rsidRDefault="00F55998" w:rsidP="00F55998">
      <w:pPr>
        <w:jc w:val="both"/>
        <w:rPr>
          <w:rFonts w:ascii="Times New Roman" w:hAnsi="Times New Roman"/>
          <w:sz w:val="24"/>
          <w:szCs w:val="24"/>
        </w:rPr>
      </w:pPr>
    </w:p>
    <w:p w:rsidR="00E15160" w:rsidRDefault="00E15160" w:rsidP="00F55998">
      <w:pPr>
        <w:jc w:val="both"/>
        <w:rPr>
          <w:rFonts w:ascii="Times New Roman" w:hAnsi="Times New Roman"/>
        </w:rPr>
      </w:pPr>
      <w:r w:rsidRPr="001B3C06">
        <w:rPr>
          <w:rFonts w:ascii="Times New Roman" w:hAnsi="Times New Roman"/>
        </w:rPr>
        <w:t>EIC:</w:t>
      </w:r>
      <w:r w:rsidRPr="001B3C06">
        <w:rPr>
          <w:rFonts w:ascii="Times New Roman" w:hAnsi="Times New Roman"/>
        </w:rPr>
        <w:tab/>
        <w:t>89089511000041 (Cat#1434)</w:t>
      </w:r>
    </w:p>
    <w:p w:rsidR="00336D1B" w:rsidRPr="005D7F8F" w:rsidRDefault="00336D1B" w:rsidP="001E7D39">
      <w:pPr>
        <w:pStyle w:val="PlainText"/>
        <w:rPr>
          <w:sz w:val="18"/>
          <w:szCs w:val="18"/>
        </w:rPr>
      </w:pPr>
    </w:p>
    <w:sectPr w:rsidR="00336D1B" w:rsidRPr="005D7F8F" w:rsidSect="00336D1B">
      <w:footerReference w:type="default" r:id="rId8"/>
      <w:footnotePr>
        <w:numRestart w:val="eachSect"/>
      </w:footnotePr>
      <w:pgSz w:w="12240" w:h="15840"/>
      <w:pgMar w:top="1526" w:right="1368" w:bottom="1267" w:left="1440" w:header="720" w:footer="46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5E8" w:rsidRDefault="000325E8">
      <w:r>
        <w:separator/>
      </w:r>
    </w:p>
  </w:endnote>
  <w:endnote w:type="continuationSeparator" w:id="0">
    <w:p w:rsidR="000325E8" w:rsidRDefault="00032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D1B" w:rsidRDefault="00336D1B">
    <w:pPr>
      <w:pStyle w:val="Footer"/>
      <w:jc w:val="center"/>
      <w:rPr>
        <w:rFonts w:ascii="Times New Roman" w:hAnsi="Times New Roman"/>
        <w:sz w:val="24"/>
      </w:rPr>
    </w:pPr>
    <w:r>
      <w:rPr>
        <w:rStyle w:val="PageNumber"/>
        <w:rFonts w:ascii="Times New Roman" w:hAnsi="Times New Roman"/>
        <w:sz w:val="24"/>
      </w:rPr>
      <w:t>6.12.</w:t>
    </w:r>
    <w:r w:rsidR="00FF3D67">
      <w:rPr>
        <w:rStyle w:val="PageNumber"/>
        <w:rFonts w:ascii="Times New Roman" w:hAnsi="Times New Roman"/>
        <w:sz w:val="24"/>
      </w:rPr>
      <w:t>1</w:t>
    </w:r>
    <w:r>
      <w:rPr>
        <w:rStyle w:val="PageNumber"/>
        <w:rFonts w:ascii="Times New Roman" w:hAnsi="Times New Roman"/>
        <w:sz w:val="24"/>
      </w:rPr>
      <w:t>-</w:t>
    </w:r>
    <w:r>
      <w:rPr>
        <w:rStyle w:val="PageNumber"/>
        <w:rFonts w:ascii="Times New Roman" w:hAnsi="Times New Roman"/>
        <w:sz w:val="24"/>
      </w:rPr>
      <w:fldChar w:fldCharType="begin"/>
    </w:r>
    <w:r>
      <w:rPr>
        <w:rStyle w:val="PageNumber"/>
        <w:rFonts w:ascii="Times New Roman" w:hAnsi="Times New Roman"/>
        <w:sz w:val="24"/>
      </w:rPr>
      <w:instrText xml:space="preserve"> PAGE </w:instrText>
    </w:r>
    <w:r>
      <w:rPr>
        <w:rStyle w:val="PageNumber"/>
        <w:rFonts w:ascii="Times New Roman" w:hAnsi="Times New Roman"/>
        <w:sz w:val="24"/>
      </w:rPr>
      <w:fldChar w:fldCharType="separate"/>
    </w:r>
    <w:r w:rsidR="00306759">
      <w:rPr>
        <w:rStyle w:val="PageNumber"/>
        <w:rFonts w:ascii="Times New Roman" w:hAnsi="Times New Roman"/>
        <w:noProof/>
        <w:sz w:val="24"/>
      </w:rPr>
      <w:t>2</w:t>
    </w:r>
    <w:r>
      <w:rPr>
        <w:rStyle w:val="PageNumber"/>
        <w:rFonts w:ascii="Times New Roman" w:hAnsi="Times New Roman"/>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5E8" w:rsidRDefault="000325E8">
      <w:r>
        <w:separator/>
      </w:r>
    </w:p>
  </w:footnote>
  <w:footnote w:type="continuationSeparator" w:id="0">
    <w:p w:rsidR="000325E8" w:rsidRDefault="000325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7B848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7FA2C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C5955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FA44B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4C61E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6847F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CFF0B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EA1A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9121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1D09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FE93B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094B2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D231B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0117E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1F80657"/>
    <w:multiLevelType w:val="singleLevel"/>
    <w:tmpl w:val="B4BADED0"/>
    <w:lvl w:ilvl="0">
      <w:start w:val="1"/>
      <w:numFmt w:val="bullet"/>
      <w:lvlText w:val="-"/>
      <w:lvlJc w:val="left"/>
      <w:pPr>
        <w:tabs>
          <w:tab w:val="num" w:pos="360"/>
        </w:tabs>
        <w:ind w:left="360" w:hanging="360"/>
      </w:pPr>
      <w:rPr>
        <w:rFonts w:hint="default"/>
      </w:rPr>
    </w:lvl>
  </w:abstractNum>
  <w:abstractNum w:abstractNumId="16">
    <w:nsid w:val="4CAF12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1E622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48B0D1E"/>
    <w:multiLevelType w:val="hybridMultilevel"/>
    <w:tmpl w:val="CFB8735E"/>
    <w:lvl w:ilvl="0" w:tplc="0409000F">
      <w:start w:val="1"/>
      <w:numFmt w:val="decimal"/>
      <w:lvlText w:val="%1."/>
      <w:lvlJc w:val="left"/>
      <w:pPr>
        <w:tabs>
          <w:tab w:val="num" w:pos="1800"/>
        </w:tabs>
        <w:ind w:left="1800" w:hanging="360"/>
      </w:pPr>
      <w:rPr>
        <w:rFonts w:hint="default"/>
      </w:rPr>
    </w:lvl>
    <w:lvl w:ilvl="1" w:tplc="04090001">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58C706EA"/>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0">
    <w:nsid w:val="5DAC5F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78A5C47"/>
    <w:multiLevelType w:val="hybridMultilevel"/>
    <w:tmpl w:val="53BE38BE"/>
    <w:lvl w:ilvl="0" w:tplc="0409000B">
      <w:start w:val="1"/>
      <w:numFmt w:val="bullet"/>
      <w:lvlText w:val=""/>
      <w:lvlJc w:val="left"/>
      <w:pPr>
        <w:tabs>
          <w:tab w:val="num" w:pos="1800"/>
        </w:tabs>
        <w:ind w:left="1800" w:hanging="360"/>
      </w:pPr>
      <w:rPr>
        <w:rFonts w:ascii="Wingdings" w:hAnsi="Wingdings" w:hint="default"/>
      </w:rPr>
    </w:lvl>
    <w:lvl w:ilvl="1" w:tplc="04090001">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68B94D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C327F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8BD2C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ACE0E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E5B2CF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25"/>
  </w:num>
  <w:num w:numId="3">
    <w:abstractNumId w:val="17"/>
  </w:num>
  <w:num w:numId="4">
    <w:abstractNumId w:val="24"/>
  </w:num>
  <w:num w:numId="5">
    <w:abstractNumId w:val="22"/>
  </w:num>
  <w:num w:numId="6">
    <w:abstractNumId w:val="3"/>
  </w:num>
  <w:num w:numId="7">
    <w:abstractNumId w:val="4"/>
  </w:num>
  <w:num w:numId="8">
    <w:abstractNumId w:val="12"/>
  </w:num>
  <w:num w:numId="9">
    <w:abstractNumId w:val="14"/>
  </w:num>
  <w:num w:numId="10">
    <w:abstractNumId w:val="5"/>
  </w:num>
  <w:num w:numId="11">
    <w:abstractNumId w:val="26"/>
  </w:num>
  <w:num w:numId="12">
    <w:abstractNumId w:val="8"/>
  </w:num>
  <w:num w:numId="13">
    <w:abstractNumId w:val="10"/>
  </w:num>
  <w:num w:numId="14">
    <w:abstractNumId w:val="15"/>
  </w:num>
  <w:num w:numId="15">
    <w:abstractNumId w:val="13"/>
  </w:num>
  <w:num w:numId="16">
    <w:abstractNumId w:val="9"/>
  </w:num>
  <w:num w:numId="17">
    <w:abstractNumId w:val="11"/>
  </w:num>
  <w:num w:numId="18">
    <w:abstractNumId w:val="7"/>
  </w:num>
  <w:num w:numId="19">
    <w:abstractNumId w:val="23"/>
  </w:num>
  <w:num w:numId="20">
    <w:abstractNumId w:val="2"/>
  </w:num>
  <w:num w:numId="21">
    <w:abstractNumId w:val="16"/>
  </w:num>
  <w:num w:numId="22">
    <w:abstractNumId w:val="1"/>
  </w:num>
  <w:num w:numId="23">
    <w:abstractNumId w:val="6"/>
  </w:num>
  <w:num w:numId="24">
    <w:abstractNumId w:val="19"/>
  </w:num>
  <w:num w:numId="25">
    <w:abstractNumId w:val="20"/>
  </w:num>
  <w:num w:numId="26">
    <w:abstractNumId w:val="2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160"/>
    <w:rsid w:val="00020C5F"/>
    <w:rsid w:val="000325E8"/>
    <w:rsid w:val="0007010C"/>
    <w:rsid w:val="000B67AF"/>
    <w:rsid w:val="0011443A"/>
    <w:rsid w:val="00117AA8"/>
    <w:rsid w:val="001617D3"/>
    <w:rsid w:val="001B3C06"/>
    <w:rsid w:val="001E7D39"/>
    <w:rsid w:val="00201D68"/>
    <w:rsid w:val="002726B3"/>
    <w:rsid w:val="002B5E7F"/>
    <w:rsid w:val="002F2345"/>
    <w:rsid w:val="00306759"/>
    <w:rsid w:val="00326590"/>
    <w:rsid w:val="00336D1B"/>
    <w:rsid w:val="003430DA"/>
    <w:rsid w:val="00381734"/>
    <w:rsid w:val="003B63DA"/>
    <w:rsid w:val="003E236D"/>
    <w:rsid w:val="00580B41"/>
    <w:rsid w:val="005E1426"/>
    <w:rsid w:val="006D20F6"/>
    <w:rsid w:val="008004D9"/>
    <w:rsid w:val="00805C04"/>
    <w:rsid w:val="00822CF2"/>
    <w:rsid w:val="00957781"/>
    <w:rsid w:val="00963880"/>
    <w:rsid w:val="00A417C0"/>
    <w:rsid w:val="00B02BFF"/>
    <w:rsid w:val="00CE28CE"/>
    <w:rsid w:val="00CE2DC4"/>
    <w:rsid w:val="00CF512E"/>
    <w:rsid w:val="00D869C5"/>
    <w:rsid w:val="00DC680E"/>
    <w:rsid w:val="00E15160"/>
    <w:rsid w:val="00E8532F"/>
    <w:rsid w:val="00E94C49"/>
    <w:rsid w:val="00ED3B5B"/>
    <w:rsid w:val="00EF729F"/>
    <w:rsid w:val="00F55998"/>
    <w:rsid w:val="00F738CA"/>
    <w:rsid w:val="00F74EFB"/>
    <w:rsid w:val="00FA6933"/>
    <w:rsid w:val="00FF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1)" w:hAnsi="CG Times (W1)"/>
    </w:rPr>
  </w:style>
  <w:style w:type="paragraph" w:styleId="Heading1">
    <w:name w:val="heading 1"/>
    <w:basedOn w:val="Normal"/>
    <w:next w:val="Normal"/>
    <w:qFormat/>
    <w:pPr>
      <w:keepNext/>
      <w:jc w:val="center"/>
      <w:outlineLvl w:val="0"/>
    </w:pPr>
    <w:rPr>
      <w:rFonts w:ascii="Times New Roman" w:hAnsi="Times New Roman"/>
      <w:b/>
      <w:sz w:val="24"/>
    </w:rPr>
  </w:style>
  <w:style w:type="paragraph" w:styleId="Heading2">
    <w:name w:val="heading 2"/>
    <w:basedOn w:val="Normal"/>
    <w:next w:val="Normal"/>
    <w:qFormat/>
    <w:pPr>
      <w:keepNext/>
      <w:jc w:val="center"/>
      <w:outlineLvl w:val="1"/>
    </w:pPr>
    <w:rPr>
      <w:rFonts w:ascii="Times New Roman" w:hAnsi="Times New Roman"/>
      <w:sz w:val="24"/>
    </w:rPr>
  </w:style>
  <w:style w:type="paragraph" w:styleId="Heading3">
    <w:name w:val="heading 3"/>
    <w:basedOn w:val="Normal"/>
    <w:next w:val="Normal"/>
    <w:qFormat/>
    <w:pPr>
      <w:keepNext/>
      <w:ind w:right="-90"/>
      <w:jc w:val="center"/>
      <w:outlineLvl w:val="2"/>
    </w:pPr>
    <w:rPr>
      <w:rFonts w:ascii="Times New Roman" w:hAnsi="Times New Roman"/>
      <w:b/>
      <w:sz w:val="24"/>
      <w:u w:val="single"/>
    </w:rPr>
  </w:style>
  <w:style w:type="paragraph" w:styleId="Heading4">
    <w:name w:val="heading 4"/>
    <w:basedOn w:val="Normal"/>
    <w:next w:val="Normal"/>
    <w:qFormat/>
    <w:pPr>
      <w:keepNext/>
      <w:jc w:val="both"/>
      <w:outlineLvl w:val="3"/>
    </w:pPr>
    <w:rPr>
      <w:rFonts w:ascii="Times New Roman" w:hAnsi="Times New Roman"/>
      <w:i/>
      <w:sz w:val="24"/>
    </w:rPr>
  </w:style>
  <w:style w:type="paragraph" w:styleId="Heading5">
    <w:name w:val="heading 5"/>
    <w:basedOn w:val="Normal"/>
    <w:next w:val="Normal"/>
    <w:qFormat/>
    <w:pPr>
      <w:keepNext/>
      <w:tabs>
        <w:tab w:val="right" w:pos="9360"/>
      </w:tabs>
      <w:jc w:val="both"/>
      <w:outlineLvl w:val="4"/>
    </w:pPr>
    <w:rPr>
      <w:rFonts w:ascii="Times New Roman" w:hAnsi="Times New Roman"/>
      <w:sz w:val="24"/>
    </w:rPr>
  </w:style>
  <w:style w:type="paragraph" w:styleId="Heading6">
    <w:name w:val="heading 6"/>
    <w:basedOn w:val="Normal"/>
    <w:next w:val="Normal"/>
    <w:qFormat/>
    <w:pPr>
      <w:keepNext/>
      <w:ind w:left="720"/>
      <w:jc w:val="both"/>
      <w:outlineLvl w:val="5"/>
    </w:pPr>
    <w:rPr>
      <w:rFonts w:ascii="Times New Roman" w:hAnsi="Times New Roman"/>
      <w:sz w:val="24"/>
      <w:u w:val="single"/>
    </w:rPr>
  </w:style>
  <w:style w:type="paragraph" w:styleId="Heading7">
    <w:name w:val="heading 7"/>
    <w:basedOn w:val="Normal"/>
    <w:next w:val="Normal"/>
    <w:qFormat/>
    <w:pPr>
      <w:keepNext/>
      <w:jc w:val="center"/>
      <w:outlineLvl w:val="6"/>
    </w:pPr>
    <w:rPr>
      <w:rFonts w:ascii="Times New Roman" w:hAnsi="Times New Roman"/>
      <w:snapToGrid w:val="0"/>
      <w:color w:val="000000"/>
      <w:sz w:val="24"/>
    </w:rPr>
  </w:style>
  <w:style w:type="paragraph" w:styleId="Heading8">
    <w:name w:val="heading 8"/>
    <w:basedOn w:val="Normal"/>
    <w:next w:val="Normal"/>
    <w:qFormat/>
    <w:pPr>
      <w:keepNext/>
      <w:jc w:val="center"/>
      <w:outlineLvl w:val="7"/>
    </w:pPr>
    <w:rPr>
      <w:rFonts w:ascii="Times New Roman" w:hAnsi="Times New Roman"/>
      <w:b/>
      <w:snapToGrid w:val="0"/>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odyText2">
    <w:name w:val="Body Text 2"/>
    <w:basedOn w:val="Normal"/>
    <w:pPr>
      <w:ind w:left="1440" w:hanging="720"/>
      <w:jc w:val="both"/>
    </w:pPr>
    <w:rPr>
      <w:rFonts w:ascii="Times New Roman" w:hAnsi="Times New Roman"/>
      <w:sz w:val="24"/>
    </w:rPr>
  </w:style>
  <w:style w:type="character" w:styleId="PageNumber">
    <w:name w:val="page number"/>
    <w:basedOn w:val="DefaultParagraphFont"/>
  </w:style>
  <w:style w:type="paragraph" w:styleId="BodyText">
    <w:name w:val="Body Text"/>
    <w:basedOn w:val="Normal"/>
    <w:rPr>
      <w:rFonts w:ascii="Times New Roman" w:hAnsi="Times New Roman"/>
      <w:sz w:val="24"/>
    </w:rPr>
  </w:style>
  <w:style w:type="paragraph" w:styleId="BodyText3">
    <w:name w:val="Body Text 3"/>
    <w:basedOn w:val="Normal"/>
    <w:pPr>
      <w:jc w:val="both"/>
    </w:pPr>
    <w:rPr>
      <w:rFonts w:ascii="Times New Roman" w:hAnsi="Times New Roman"/>
      <w:sz w:val="24"/>
    </w:rPr>
  </w:style>
  <w:style w:type="paragraph" w:styleId="BodyTextIndent">
    <w:name w:val="Body Text Indent"/>
    <w:basedOn w:val="Normal"/>
    <w:pPr>
      <w:ind w:left="1080"/>
      <w:jc w:val="both"/>
    </w:pPr>
    <w:rPr>
      <w:rFonts w:ascii="Times New Roman" w:hAnsi="Times New Roman"/>
      <w:sz w:val="24"/>
    </w:rPr>
  </w:style>
  <w:style w:type="paragraph" w:styleId="BodyTextIndent2">
    <w:name w:val="Body Text Indent 2"/>
    <w:basedOn w:val="Normal"/>
    <w:pPr>
      <w:ind w:left="720"/>
      <w:jc w:val="both"/>
    </w:pPr>
    <w:rPr>
      <w:rFonts w:ascii="Times New Roman" w:hAnsi="Times New Roman"/>
      <w:sz w:val="24"/>
    </w:rPr>
  </w:style>
  <w:style w:type="paragraph" w:styleId="BodyTextIndent3">
    <w:name w:val="Body Text Indent 3"/>
    <w:basedOn w:val="Normal"/>
    <w:pPr>
      <w:ind w:left="1440"/>
      <w:jc w:val="both"/>
    </w:pPr>
    <w:rPr>
      <w:rFonts w:ascii="Times New Roman" w:hAnsi="Times New Roman"/>
      <w:sz w:val="24"/>
    </w:rPr>
  </w:style>
  <w:style w:type="paragraph" w:styleId="BalloonText">
    <w:name w:val="Balloon Text"/>
    <w:basedOn w:val="Normal"/>
    <w:semiHidden/>
    <w:rsid w:val="001B3C06"/>
    <w:rPr>
      <w:rFonts w:ascii="Tahoma" w:hAnsi="Tahoma" w:cs="Tahoma"/>
      <w:sz w:val="16"/>
      <w:szCs w:val="16"/>
    </w:rPr>
  </w:style>
  <w:style w:type="paragraph" w:styleId="PlainText">
    <w:name w:val="Plain Text"/>
    <w:basedOn w:val="Normal"/>
    <w:rsid w:val="00336D1B"/>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1)" w:hAnsi="CG Times (W1)"/>
    </w:rPr>
  </w:style>
  <w:style w:type="paragraph" w:styleId="Heading1">
    <w:name w:val="heading 1"/>
    <w:basedOn w:val="Normal"/>
    <w:next w:val="Normal"/>
    <w:qFormat/>
    <w:pPr>
      <w:keepNext/>
      <w:jc w:val="center"/>
      <w:outlineLvl w:val="0"/>
    </w:pPr>
    <w:rPr>
      <w:rFonts w:ascii="Times New Roman" w:hAnsi="Times New Roman"/>
      <w:b/>
      <w:sz w:val="24"/>
    </w:rPr>
  </w:style>
  <w:style w:type="paragraph" w:styleId="Heading2">
    <w:name w:val="heading 2"/>
    <w:basedOn w:val="Normal"/>
    <w:next w:val="Normal"/>
    <w:qFormat/>
    <w:pPr>
      <w:keepNext/>
      <w:jc w:val="center"/>
      <w:outlineLvl w:val="1"/>
    </w:pPr>
    <w:rPr>
      <w:rFonts w:ascii="Times New Roman" w:hAnsi="Times New Roman"/>
      <w:sz w:val="24"/>
    </w:rPr>
  </w:style>
  <w:style w:type="paragraph" w:styleId="Heading3">
    <w:name w:val="heading 3"/>
    <w:basedOn w:val="Normal"/>
    <w:next w:val="Normal"/>
    <w:qFormat/>
    <w:pPr>
      <w:keepNext/>
      <w:ind w:right="-90"/>
      <w:jc w:val="center"/>
      <w:outlineLvl w:val="2"/>
    </w:pPr>
    <w:rPr>
      <w:rFonts w:ascii="Times New Roman" w:hAnsi="Times New Roman"/>
      <w:b/>
      <w:sz w:val="24"/>
      <w:u w:val="single"/>
    </w:rPr>
  </w:style>
  <w:style w:type="paragraph" w:styleId="Heading4">
    <w:name w:val="heading 4"/>
    <w:basedOn w:val="Normal"/>
    <w:next w:val="Normal"/>
    <w:qFormat/>
    <w:pPr>
      <w:keepNext/>
      <w:jc w:val="both"/>
      <w:outlineLvl w:val="3"/>
    </w:pPr>
    <w:rPr>
      <w:rFonts w:ascii="Times New Roman" w:hAnsi="Times New Roman"/>
      <w:i/>
      <w:sz w:val="24"/>
    </w:rPr>
  </w:style>
  <w:style w:type="paragraph" w:styleId="Heading5">
    <w:name w:val="heading 5"/>
    <w:basedOn w:val="Normal"/>
    <w:next w:val="Normal"/>
    <w:qFormat/>
    <w:pPr>
      <w:keepNext/>
      <w:tabs>
        <w:tab w:val="right" w:pos="9360"/>
      </w:tabs>
      <w:jc w:val="both"/>
      <w:outlineLvl w:val="4"/>
    </w:pPr>
    <w:rPr>
      <w:rFonts w:ascii="Times New Roman" w:hAnsi="Times New Roman"/>
      <w:sz w:val="24"/>
    </w:rPr>
  </w:style>
  <w:style w:type="paragraph" w:styleId="Heading6">
    <w:name w:val="heading 6"/>
    <w:basedOn w:val="Normal"/>
    <w:next w:val="Normal"/>
    <w:qFormat/>
    <w:pPr>
      <w:keepNext/>
      <w:ind w:left="720"/>
      <w:jc w:val="both"/>
      <w:outlineLvl w:val="5"/>
    </w:pPr>
    <w:rPr>
      <w:rFonts w:ascii="Times New Roman" w:hAnsi="Times New Roman"/>
      <w:sz w:val="24"/>
      <w:u w:val="single"/>
    </w:rPr>
  </w:style>
  <w:style w:type="paragraph" w:styleId="Heading7">
    <w:name w:val="heading 7"/>
    <w:basedOn w:val="Normal"/>
    <w:next w:val="Normal"/>
    <w:qFormat/>
    <w:pPr>
      <w:keepNext/>
      <w:jc w:val="center"/>
      <w:outlineLvl w:val="6"/>
    </w:pPr>
    <w:rPr>
      <w:rFonts w:ascii="Times New Roman" w:hAnsi="Times New Roman"/>
      <w:snapToGrid w:val="0"/>
      <w:color w:val="000000"/>
      <w:sz w:val="24"/>
    </w:rPr>
  </w:style>
  <w:style w:type="paragraph" w:styleId="Heading8">
    <w:name w:val="heading 8"/>
    <w:basedOn w:val="Normal"/>
    <w:next w:val="Normal"/>
    <w:qFormat/>
    <w:pPr>
      <w:keepNext/>
      <w:jc w:val="center"/>
      <w:outlineLvl w:val="7"/>
    </w:pPr>
    <w:rPr>
      <w:rFonts w:ascii="Times New Roman" w:hAnsi="Times New Roman"/>
      <w:b/>
      <w:snapToGrid w:val="0"/>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odyText2">
    <w:name w:val="Body Text 2"/>
    <w:basedOn w:val="Normal"/>
    <w:pPr>
      <w:ind w:left="1440" w:hanging="720"/>
      <w:jc w:val="both"/>
    </w:pPr>
    <w:rPr>
      <w:rFonts w:ascii="Times New Roman" w:hAnsi="Times New Roman"/>
      <w:sz w:val="24"/>
    </w:rPr>
  </w:style>
  <w:style w:type="character" w:styleId="PageNumber">
    <w:name w:val="page number"/>
    <w:basedOn w:val="DefaultParagraphFont"/>
  </w:style>
  <w:style w:type="paragraph" w:styleId="BodyText">
    <w:name w:val="Body Text"/>
    <w:basedOn w:val="Normal"/>
    <w:rPr>
      <w:rFonts w:ascii="Times New Roman" w:hAnsi="Times New Roman"/>
      <w:sz w:val="24"/>
    </w:rPr>
  </w:style>
  <w:style w:type="paragraph" w:styleId="BodyText3">
    <w:name w:val="Body Text 3"/>
    <w:basedOn w:val="Normal"/>
    <w:pPr>
      <w:jc w:val="both"/>
    </w:pPr>
    <w:rPr>
      <w:rFonts w:ascii="Times New Roman" w:hAnsi="Times New Roman"/>
      <w:sz w:val="24"/>
    </w:rPr>
  </w:style>
  <w:style w:type="paragraph" w:styleId="BodyTextIndent">
    <w:name w:val="Body Text Indent"/>
    <w:basedOn w:val="Normal"/>
    <w:pPr>
      <w:ind w:left="1080"/>
      <w:jc w:val="both"/>
    </w:pPr>
    <w:rPr>
      <w:rFonts w:ascii="Times New Roman" w:hAnsi="Times New Roman"/>
      <w:sz w:val="24"/>
    </w:rPr>
  </w:style>
  <w:style w:type="paragraph" w:styleId="BodyTextIndent2">
    <w:name w:val="Body Text Indent 2"/>
    <w:basedOn w:val="Normal"/>
    <w:pPr>
      <w:ind w:left="720"/>
      <w:jc w:val="both"/>
    </w:pPr>
    <w:rPr>
      <w:rFonts w:ascii="Times New Roman" w:hAnsi="Times New Roman"/>
      <w:sz w:val="24"/>
    </w:rPr>
  </w:style>
  <w:style w:type="paragraph" w:styleId="BodyTextIndent3">
    <w:name w:val="Body Text Indent 3"/>
    <w:basedOn w:val="Normal"/>
    <w:pPr>
      <w:ind w:left="1440"/>
      <w:jc w:val="both"/>
    </w:pPr>
    <w:rPr>
      <w:rFonts w:ascii="Times New Roman" w:hAnsi="Times New Roman"/>
      <w:sz w:val="24"/>
    </w:rPr>
  </w:style>
  <w:style w:type="paragraph" w:styleId="BalloonText">
    <w:name w:val="Balloon Text"/>
    <w:basedOn w:val="Normal"/>
    <w:semiHidden/>
    <w:rsid w:val="001B3C06"/>
    <w:rPr>
      <w:rFonts w:ascii="Tahoma" w:hAnsi="Tahoma" w:cs="Tahoma"/>
      <w:sz w:val="16"/>
      <w:szCs w:val="16"/>
    </w:rPr>
  </w:style>
  <w:style w:type="paragraph" w:styleId="PlainText">
    <w:name w:val="Plain Text"/>
    <w:basedOn w:val="Normal"/>
    <w:rsid w:val="00336D1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560</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Base Year:  1996	By: M. Nguyen</vt:lpstr>
    </vt:vector>
  </TitlesOfParts>
  <Company>BAAQMD</Company>
  <LinksUpToDate>false</LinksUpToDate>
  <CharactersWithSpaces>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Year:  1996	By: M. Nguyen</dc:title>
  <dc:creator>BAAQMD</dc:creator>
  <cp:lastModifiedBy>Minh Nguyen</cp:lastModifiedBy>
  <cp:revision>7</cp:revision>
  <cp:lastPrinted>2008-12-15T22:06:00Z</cp:lastPrinted>
  <dcterms:created xsi:type="dcterms:W3CDTF">2011-05-09T20:36:00Z</dcterms:created>
  <dcterms:modified xsi:type="dcterms:W3CDTF">2014-02-18T21:20:00Z</dcterms:modified>
</cp:coreProperties>
</file>