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1.wmf" ContentType="image/x-wmf"/>
  <Override PartName="/word/media/image2.tif" ContentType="image/tiff"/>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sz w:val="24"/>
          <w:szCs w:val="24"/>
          <w:lang w:val="en-US"/>
        </w:rPr>
      </w:pPr>
      <w:r>
        <w:rPr>
          <w:rFonts w:cs="Arial" w:ascii="Arial" w:hAnsi="Arial"/>
          <w:b/>
          <w:sz w:val="24"/>
          <w:szCs w:val="24"/>
          <w:lang w:val="en-US"/>
        </w:rPr>
        <w:t>Supplementary materials</w:t>
      </w:r>
    </w:p>
    <w:p>
      <w:pPr>
        <w:pStyle w:val="Normal"/>
        <w:spacing w:lineRule="auto" w:line="240" w:before="0" w:after="0"/>
        <w:rPr>
          <w:rFonts w:ascii="Arial" w:hAnsi="Arial" w:cs="Arial"/>
          <w:b/>
          <w:b/>
          <w:sz w:val="24"/>
          <w:szCs w:val="24"/>
          <w:lang w:val="en-US"/>
        </w:rPr>
      </w:pPr>
      <w:r>
        <w:rPr>
          <w:rFonts w:cs="Arial" w:ascii="Arial" w:hAnsi="Arial"/>
          <w:b/>
          <w:sz w:val="24"/>
          <w:szCs w:val="24"/>
          <w:lang w:val="en-US"/>
        </w:rPr>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sFigure 1 Flow of participants</w:t>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Supplementary Text</w:t>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 xml:space="preserve">sTable 1 </w:t>
      </w:r>
      <w:r>
        <w:rPr>
          <w:rFonts w:cs="Arial" w:ascii="Arial" w:hAnsi="Arial"/>
          <w:sz w:val="20"/>
          <w:szCs w:val="20"/>
        </w:rPr>
        <w:t>Comparison of participants included in the study analyses Vs. those who were excluded</w:t>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 xml:space="preserve"> </w:t>
      </w:r>
      <w:r>
        <w:rPr>
          <w:rFonts w:cs="Arial" w:ascii="Arial" w:hAnsi="Arial"/>
          <w:sz w:val="20"/>
          <w:szCs w:val="20"/>
          <w:lang w:val="en-US"/>
        </w:rPr>
        <w:t>sTable 2 Descriptive characteristics of derivation cohort (HUNT Fitness study) and validation cohort (HUNT-1 study)</w:t>
      </w:r>
    </w:p>
    <w:p>
      <w:p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lang w:val="en-US"/>
        </w:rPr>
        <w:t>s</w:t>
      </w:r>
      <w:r>
        <w:rPr>
          <w:rFonts w:cs="Arial" w:ascii="Arial" w:hAnsi="Arial"/>
          <w:sz w:val="20"/>
          <w:szCs w:val="20"/>
        </w:rPr>
        <w:t>Table 3 Hazard ratio of mortality by PAI, stratified by diabetes and hypertension status</w:t>
      </w:r>
    </w:p>
    <w:p>
      <w:p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rPr>
        <w:t>sTable 4 Hazard ratios (95% CI) for all-cause and cardiovascular mortality</w:t>
      </w:r>
    </w:p>
    <w:p>
      <w:p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rPr>
        <w:t>sTable 5 Hazard ratios for all-cause and cardiovascular mortality after excluding 3 years of follow-up.</w:t>
      </w:r>
    </w:p>
    <w:p>
      <w:pPr>
        <w:sectPr>
          <w:footerReference w:type="default" r:id="rId2"/>
          <w:type w:val="nextPage"/>
          <w:pgSz w:w="12240" w:h="15840"/>
          <w:pgMar w:left="1417" w:right="1417" w:header="0" w:top="1417" w:footer="708" w:bottom="1417" w:gutter="0"/>
          <w:pgNumType w:fmt="decimal"/>
          <w:formProt w:val="false"/>
          <w:textDirection w:val="lrTb"/>
          <w:docGrid w:type="default" w:linePitch="360" w:charSpace="4096"/>
        </w:sect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rPr>
        <w:t>sFigure 2 Years of life lost according to PAI</w:t>
      </w:r>
    </w:p>
    <w:p>
      <w:pPr>
        <w:pStyle w:val="Normal"/>
        <w:spacing w:lineRule="auto" w:line="240"/>
        <w:rPr>
          <w:rFonts w:ascii="Arial" w:hAnsi="Arial" w:cs="Arial"/>
          <w:b/>
          <w:b/>
          <w:sz w:val="24"/>
          <w:szCs w:val="20"/>
        </w:rPr>
      </w:pPr>
      <w:r>
        <w:rPr>
          <w:rFonts w:cs="Arial" w:ascii="Arial" w:hAnsi="Arial"/>
          <w:b/>
          <w:sz w:val="24"/>
          <w:szCs w:val="20"/>
        </w:rPr>
        <w:t>sFigure 1 Flow of participants</w:t>
      </w:r>
    </w:p>
    <w:tbl>
      <w:tblPr>
        <w:tblStyle w:val="TableGrid"/>
        <w:tblW w:w="6996" w:type="dxa"/>
        <w:jc w:val="left"/>
        <w:tblInd w:w="0" w:type="dxa"/>
        <w:tblCellMar>
          <w:top w:w="0" w:type="dxa"/>
          <w:left w:w="108" w:type="dxa"/>
          <w:bottom w:w="0" w:type="dxa"/>
          <w:right w:w="108" w:type="dxa"/>
        </w:tblCellMar>
        <w:tblLook w:val="04a0" w:noHBand="0" w:noVBand="1" w:firstColumn="1" w:lastRow="0" w:lastColumn="0" w:firstRow="1"/>
      </w:tblPr>
      <w:tblGrid>
        <w:gridCol w:w="6996"/>
      </w:tblGrid>
      <w:tr>
        <w:trPr>
          <w:trHeight w:val="3089" w:hRule="atLeast"/>
        </w:trPr>
        <w:tc>
          <w:tcPr>
            <w:tcW w:w="6996" w:type="dxa"/>
            <w:tcBorders>
              <w:top w:val="nil"/>
              <w:left w:val="nil"/>
              <w:right w:val="nil"/>
            </w:tcBorders>
          </w:tcPr>
          <w:p>
            <w:pPr>
              <w:pStyle w:val="Normal"/>
              <w:spacing w:lineRule="auto" w:line="240" w:before="0" w:after="0"/>
              <w:rPr>
                <w:rFonts w:ascii="Arial" w:hAnsi="Arial" w:cs="Arial"/>
                <w:b/>
                <w:b/>
                <w:sz w:val="24"/>
                <w:szCs w:val="20"/>
              </w:rPr>
            </w:pPr>
            <w:r>
              <w:rPr/>
              <w:drawing>
                <wp:inline distT="0" distB="0" distL="0" distR="0">
                  <wp:extent cx="4305935" cy="203263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rcRect l="16911" t="6837" r="10969" b="47940"/>
                          <a:stretch>
                            <a:fillRect/>
                          </a:stretch>
                        </pic:blipFill>
                        <pic:spPr bwMode="auto">
                          <a:xfrm>
                            <a:off x="0" y="0"/>
                            <a:ext cx="4305935" cy="2032635"/>
                          </a:xfrm>
                          <a:prstGeom prst="rect">
                            <a:avLst/>
                          </a:prstGeom>
                        </pic:spPr>
                      </pic:pic>
                    </a:graphicData>
                  </a:graphic>
                </wp:inline>
              </w:drawing>
            </w:r>
          </w:p>
        </w:tc>
      </w:tr>
      <w:tr>
        <w:trPr>
          <w:trHeight w:val="255" w:hRule="atLeast"/>
        </w:trPr>
        <w:tc>
          <w:tcPr>
            <w:tcW w:w="6996" w:type="dxa"/>
            <w:tcBorders>
              <w:left w:val="nil"/>
              <w:bottom w:val="nil"/>
              <w:right w:val="nil"/>
            </w:tcBorders>
          </w:tcPr>
          <w:p>
            <w:pPr>
              <w:pStyle w:val="Normal"/>
              <w:spacing w:lineRule="auto" w:line="240" w:before="0" w:after="0"/>
              <w:rPr>
                <w:rFonts w:ascii="Arial" w:hAnsi="Arial" w:cs="Arial"/>
                <w:color w:val="000000" w:themeColor="text1"/>
                <w:sz w:val="16"/>
                <w:szCs w:val="16"/>
                <w:lang w:val="en-US"/>
              </w:rPr>
            </w:pPr>
            <w:r>
              <w:rPr>
                <w:rFonts w:cs="Arial" w:ascii="Arial" w:hAnsi="Arial"/>
                <w:color w:val="000000" w:themeColor="text1"/>
                <w:sz w:val="16"/>
                <w:szCs w:val="16"/>
                <w:lang w:val="en-US"/>
              </w:rPr>
              <w:t>MI, myocardial infarction; DM, diabetes mellitus; BMI, body mass index</w:t>
            </w:r>
          </w:p>
        </w:tc>
      </w:tr>
    </w:tbl>
    <w:p>
      <w:pPr>
        <w:pStyle w:val="Normal"/>
        <w:spacing w:lineRule="auto" w:line="240"/>
        <w:rPr>
          <w:rFonts w:ascii="Arial" w:hAnsi="Arial" w:cs="Arial"/>
          <w:b/>
          <w:b/>
          <w:sz w:val="24"/>
          <w:szCs w:val="20"/>
        </w:rPr>
      </w:pPr>
      <w:r>
        <w:rPr>
          <w:rFonts w:cs="Arial" w:ascii="Arial" w:hAnsi="Arial"/>
          <w:b/>
          <w:sz w:val="24"/>
          <w:szCs w:val="20"/>
        </w:rPr>
      </w:r>
    </w:p>
    <w:p>
      <w:pPr>
        <w:sectPr>
          <w:footerReference w:type="default" r:id="rId4"/>
          <w:type w:val="nextPage"/>
          <w:pgSz w:w="12240" w:h="15840"/>
          <w:pgMar w:left="1417" w:right="1417" w:header="0" w:top="1417" w:footer="708" w:bottom="1417" w:gutter="0"/>
          <w:pgNumType w:fmt="decimal"/>
          <w:formProt w:val="false"/>
          <w:textDirection w:val="lrTb"/>
          <w:docGrid w:type="default" w:linePitch="360" w:charSpace="4096"/>
        </w:sectPr>
        <w:pStyle w:val="Normal"/>
        <w:spacing w:lineRule="auto" w:line="240"/>
        <w:rPr>
          <w:rFonts w:ascii="Arial" w:hAnsi="Arial" w:cs="Arial"/>
          <w:b/>
          <w:b/>
          <w:sz w:val="20"/>
          <w:szCs w:val="20"/>
        </w:rPr>
      </w:pPr>
      <w:r>
        <w:rPr>
          <w:rFonts w:cs="Arial" w:ascii="Arial" w:hAnsi="Arial"/>
          <w:color w:val="000000" w:themeColor="text1"/>
          <w:sz w:val="20"/>
          <w:szCs w:val="20"/>
          <w:lang w:val="en-US"/>
        </w:rPr>
        <w:t>The validation cohort consisted of 70,535 participants aged 20-74 years in the first wave of HUNT (1984-86). We excluded 4487 participants on the basis of self-reported history of myocardial infarction, angina pectoris, stroke, and diabetes mellitus. We further excluded those with motion impairment (n=5598), and somatic diseases (n=5605) hampering physical activity participation. In addition, 12,898 participants who failed to return the questionnaire about physical activity, and 2649 participants with missing values on various covariates were excluded. Therefore, a total of 39,298 (20,029 women and 19,269 men) were included in the analyses of this study (sFigure 1)</w:t>
      </w:r>
    </w:p>
    <w:p>
      <w:pPr>
        <w:pStyle w:val="Normal"/>
        <w:spacing w:lineRule="auto" w:line="240"/>
        <w:rPr>
          <w:rFonts w:ascii="Arial" w:hAnsi="Arial" w:cs="Arial"/>
          <w:b/>
          <w:b/>
          <w:sz w:val="24"/>
          <w:szCs w:val="20"/>
        </w:rPr>
      </w:pPr>
      <w:r>
        <w:rPr>
          <w:rFonts w:cs="Arial" w:ascii="Arial" w:hAnsi="Arial"/>
          <w:b/>
          <w:sz w:val="24"/>
          <w:szCs w:val="20"/>
        </w:rPr>
        <w:t>Supplementary Text</w:t>
      </w:r>
    </w:p>
    <w:p>
      <w:pPr>
        <w:pStyle w:val="Normal"/>
        <w:spacing w:lineRule="auto" w:line="240"/>
        <w:rPr>
          <w:rFonts w:ascii="Arial" w:hAnsi="Arial" w:cs="Arial"/>
          <w:b/>
          <w:b/>
          <w:i/>
          <w:i/>
          <w:sz w:val="20"/>
          <w:szCs w:val="20"/>
        </w:rPr>
      </w:pPr>
      <w:bookmarkStart w:id="0" w:name="__DdeLink__2952_652946782"/>
      <w:r>
        <w:rPr>
          <w:rFonts w:cs="Arial" w:ascii="Arial" w:hAnsi="Arial"/>
          <w:b/>
          <w:i/>
          <w:sz w:val="20"/>
          <w:szCs w:val="20"/>
        </w:rPr>
        <w:t>Personalized Activity Intelligence (PAI)</w:t>
      </w:r>
    </w:p>
    <w:p>
      <w:pPr>
        <w:pStyle w:val="Normal"/>
        <w:spacing w:lineRule="auto" w:line="240"/>
        <w:rPr>
          <w:rFonts w:ascii="Arial" w:hAnsi="Arial" w:cs="Arial"/>
          <w:color w:val="000000" w:themeColor="text1"/>
          <w:sz w:val="20"/>
          <w:lang w:val="en-US"/>
        </w:rPr>
      </w:pPr>
      <w:r>
        <w:rPr>
          <w:rFonts w:cs="Arial" w:ascii="Arial" w:hAnsi="Arial"/>
          <w:color w:val="000000" w:themeColor="text1"/>
          <w:sz w:val="20"/>
          <w:lang w:val="en-US"/>
        </w:rPr>
        <w:t>The following assumptions found the basis of the model design:</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Intensity of exercise at individual level is appropriately assessed by using % of heart rate reserve [heart rate relative to resting heart rate and maximum heart rate]. </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Very low intensity does not contribute to increased </w:t>
      </w:r>
      <w:r>
        <w:rPr>
          <w:rFonts w:cs="Arial" w:ascii="Arial" w:hAnsi="Arial"/>
          <w:color w:val="000000" w:themeColor="text1"/>
          <w:sz w:val="20"/>
        </w:rPr>
        <w:t>cardiorespiratory fitness</w:t>
      </w:r>
      <w:r>
        <w:rPr>
          <w:rFonts w:cs="Arial" w:ascii="Arial" w:hAnsi="Arial"/>
          <w:color w:val="000000" w:themeColor="text1"/>
          <w:sz w:val="20"/>
          <w:lang w:val="en-US"/>
        </w:rPr>
        <w:t>, suggesting that a threshold exist before PAI can be accumulated</w:t>
      </w:r>
      <w:r>
        <w:rPr>
          <w:rFonts w:cs="Arial" w:ascii="Arial" w:hAnsi="Arial"/>
          <w:color w:val="000000" w:themeColor="text1"/>
          <w:sz w:val="20"/>
          <w:vertAlign w:val="superscript"/>
          <w:lang w:val="en-US"/>
        </w:rPr>
        <w:t>1</w:t>
      </w:r>
      <w:r>
        <w:rPr>
          <w:rFonts w:cs="Arial" w:ascii="Arial" w:hAnsi="Arial"/>
          <w:color w:val="000000" w:themeColor="text1"/>
          <w:sz w:val="20"/>
          <w:lang w:val="en-US"/>
        </w:rPr>
        <w:t>.</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Increased intensity has been shown to dramatically reduce the amount of exercise needed to increase </w:t>
      </w:r>
      <w:r>
        <w:rPr>
          <w:rFonts w:cs="Arial" w:ascii="Arial" w:hAnsi="Arial"/>
          <w:color w:val="000000" w:themeColor="text1"/>
          <w:sz w:val="20"/>
        </w:rPr>
        <w:t>cardiorespiratory fitness</w:t>
      </w:r>
      <w:r>
        <w:rPr>
          <w:rFonts w:cs="Arial" w:ascii="Arial" w:hAnsi="Arial"/>
          <w:color w:val="000000" w:themeColor="text1"/>
          <w:sz w:val="20"/>
          <w:lang w:val="en-US"/>
        </w:rPr>
        <w:t>, suggesting a non-linear scaling of intensity for the model</w:t>
      </w:r>
      <w:r>
        <w:rPr>
          <w:rFonts w:cs="Arial" w:ascii="Arial" w:hAnsi="Arial"/>
          <w:color w:val="000000" w:themeColor="text1"/>
          <w:sz w:val="20"/>
          <w:vertAlign w:val="superscript"/>
          <w:lang w:val="en-US"/>
        </w:rPr>
        <w:t>2</w:t>
      </w:r>
      <w:r>
        <w:rPr>
          <w:rFonts w:cs="Arial" w:ascii="Arial" w:hAnsi="Arial"/>
          <w:color w:val="000000" w:themeColor="text1"/>
          <w:sz w:val="20"/>
          <w:lang w:val="en-US"/>
        </w:rPr>
        <w:t xml:space="preserve">. </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Exercise level is fundamentally</w:t>
      </w:r>
      <w:r>
        <w:rPr>
          <w:rFonts w:cs="Arial" w:ascii="Arial" w:hAnsi="Arial"/>
          <w:color w:val="000000" w:themeColor="text1"/>
          <w:sz w:val="20"/>
          <w:highlight w:val="yellow"/>
          <w:lang w:val="en-US"/>
        </w:rPr>
        <w:t xml:space="preserve"> a product of intensity and time</w:t>
      </w:r>
      <w:r>
        <w:rPr>
          <w:rFonts w:cs="Arial" w:ascii="Arial" w:hAnsi="Arial"/>
          <w:color w:val="000000" w:themeColor="text1"/>
          <w:sz w:val="20"/>
          <w:lang w:val="en-US"/>
        </w:rPr>
        <w:t xml:space="preserve">, where assessment from a continuous data stream of heart rate is achieved by </w:t>
      </w:r>
      <w:r>
        <w:rPr>
          <w:rFonts w:cs="Arial" w:ascii="Arial" w:hAnsi="Arial"/>
          <w:color w:val="000000" w:themeColor="text1"/>
          <w:sz w:val="20"/>
          <w:highlight w:val="yellow"/>
          <w:lang w:val="en-US"/>
        </w:rPr>
        <w:t>integrating the nonlinearly scaled intensity over time.</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Effect of exercise is most prominent from an inactive baseline, where increased levels show a gradually decaying effect on </w:t>
      </w:r>
      <w:r>
        <w:rPr>
          <w:rFonts w:cs="Arial" w:ascii="Arial" w:hAnsi="Arial"/>
          <w:color w:val="000000" w:themeColor="text1"/>
          <w:sz w:val="20"/>
        </w:rPr>
        <w:t>cardiorespiratory fitness</w:t>
      </w:r>
      <w:r>
        <w:rPr>
          <w:rFonts w:cs="Arial" w:ascii="Arial" w:hAnsi="Arial"/>
          <w:color w:val="000000" w:themeColor="text1"/>
          <w:sz w:val="20"/>
          <w:lang w:val="en-US"/>
        </w:rPr>
        <w:t xml:space="preserve"> improvement. </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When an individual increases </w:t>
      </w:r>
      <w:r>
        <w:rPr>
          <w:rFonts w:cs="Arial" w:ascii="Arial" w:hAnsi="Arial"/>
          <w:color w:val="000000" w:themeColor="text1"/>
          <w:sz w:val="20"/>
        </w:rPr>
        <w:t>cardiorespiratory fitness</w:t>
      </w:r>
      <w:r>
        <w:rPr>
          <w:rFonts w:cs="Arial" w:ascii="Arial" w:hAnsi="Arial"/>
          <w:color w:val="000000" w:themeColor="text1"/>
          <w:sz w:val="20"/>
          <w:lang w:val="en-US"/>
        </w:rPr>
        <w:t>; resting heart rate, as well as heart rates during submaximal physical activity, become reduced, securing that the absolute levels of physical activity needed to reach 100 PAI becomes higher.</w:t>
      </w:r>
    </w:p>
    <w:p>
      <w:pPr>
        <w:pStyle w:val="Normal"/>
        <w:spacing w:lineRule="auto" w:line="240"/>
        <w:rPr>
          <w:rFonts w:ascii="Arial" w:hAnsi="Arial" w:cs="Arial"/>
          <w:color w:val="000000" w:themeColor="text1"/>
          <w:sz w:val="20"/>
          <w:szCs w:val="20"/>
          <w:lang w:val="en-US"/>
        </w:rPr>
      </w:pPr>
      <w:r>
        <w:rPr>
          <w:rFonts w:cs="Arial" w:ascii="Arial" w:hAnsi="Arial"/>
          <w:color w:val="000000" w:themeColor="text1"/>
          <w:sz w:val="20"/>
          <w:szCs w:val="20"/>
          <w:lang w:val="en-US"/>
        </w:rPr>
      </w:r>
    </w:p>
    <w:p>
      <w:pPr>
        <w:pStyle w:val="Normal"/>
        <w:spacing w:lineRule="auto" w:line="240"/>
        <w:rPr>
          <w:rFonts w:ascii="Arial" w:hAnsi="Arial" w:cs="Arial"/>
          <w:color w:val="000000" w:themeColor="text1"/>
          <w:sz w:val="20"/>
          <w:szCs w:val="20"/>
          <w:lang w:val="en-US"/>
        </w:rPr>
      </w:pPr>
      <w:r>
        <w:rPr>
          <w:rFonts w:cs="Arial" w:ascii="Arial" w:hAnsi="Arial"/>
          <w:color w:val="000000" w:themeColor="text1"/>
          <w:sz w:val="20"/>
          <w:szCs w:val="20"/>
          <w:lang w:val="en-US"/>
        </w:rPr>
        <w:t>Heart rate is normalized according to assumption 1:</w:t>
      </w:r>
    </w:p>
    <w:p>
      <w:pPr>
        <w:pStyle w:val="Normal"/>
        <w:spacing w:lineRule="auto" w:line="240"/>
        <w:rPr>
          <w:rFonts w:ascii="Arial" w:hAnsi="Arial" w:cs="Arial"/>
          <w:color w:val="000000" w:themeColor="text1"/>
          <w:sz w:val="20"/>
          <w:szCs w:val="20"/>
          <w:lang w:val="en-US"/>
        </w:rPr>
      </w:pPr>
      <w:r>
        <w:rPr/>
      </w:r>
      <m:oMath xmlns:m="http://schemas.openxmlformats.org/officeDocument/2006/math">
        <m:bar>
          <m:barPr>
            <m:pos m:val="top"/>
          </m:barPr>
          <m:e>
            <m:r>
              <w:rPr>
                <w:rFonts w:ascii="Cambria Math" w:hAnsi="Cambria Math"/>
              </w:rPr>
              <m:t xml:space="preserve">y</m:t>
            </m:r>
          </m:e>
        </m:ba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y</m:t>
                </m:r>
              </m:e>
              <m:sub>
                <m:r>
                  <w:rPr>
                    <w:rFonts w:ascii="Cambria Math" w:hAnsi="Cambria Math"/>
                  </w:rPr>
                  <m:t xml:space="preserve">th</m:t>
                </m:r>
              </m:sub>
            </m:sSub>
          </m:num>
          <m:den>
            <m:sSub>
              <m:e>
                <m:r>
                  <w:rPr>
                    <w:rFonts w:ascii="Cambria Math" w:hAnsi="Cambria Math"/>
                  </w:rPr>
                  <m:t xml:space="preserve">y</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th</m:t>
                </m:r>
              </m:sub>
            </m:sSub>
          </m:den>
        </m:f>
      </m:oMath>
    </w:p>
    <w:p>
      <w:pPr>
        <w:pStyle w:val="Normal"/>
        <w:spacing w:lineRule="auto" w:line="240"/>
        <w:rPr>
          <w:rFonts w:ascii="Arial" w:hAnsi="Arial" w:eastAsia="" w:cs="Arial" w:eastAsiaTheme="minorEastAsia"/>
          <w:color w:val="000000" w:themeColor="text1"/>
          <w:sz w:val="20"/>
          <w:szCs w:val="20"/>
          <w:lang w:val="en-US"/>
        </w:rPr>
      </w:pPr>
      <w:r>
        <w:rPr>
          <w:rFonts w:cs="Arial" w:ascii="Arial" w:hAnsi="Arial"/>
          <w:color w:val="000000" w:themeColor="text1"/>
          <w:sz w:val="20"/>
          <w:szCs w:val="20"/>
          <w:lang w:val="en-US"/>
        </w:rPr>
        <w:t xml:space="preserve">where </w:t>
      </w:r>
      <w:r>
        <w:rPr>
          <w:rFonts w:cs="Arial" w:ascii="Arial" w:hAnsi="Arial"/>
          <w:i/>
          <w:color w:val="000000" w:themeColor="text1"/>
          <w:sz w:val="20"/>
          <w:szCs w:val="20"/>
          <w:lang w:val="en-US"/>
        </w:rPr>
        <w:t>y(t)</w:t>
      </w:r>
      <w:r>
        <w:rPr>
          <w:rFonts w:cs="Arial" w:ascii="Arial" w:hAnsi="Arial"/>
          <w:color w:val="000000" w:themeColor="text1"/>
          <w:sz w:val="20"/>
          <w:szCs w:val="20"/>
          <w:lang w:val="en-US"/>
        </w:rPr>
        <w:t xml:space="preserve"> [beats per minute] is measured heart rate at time </w:t>
      </w:r>
      <w:r>
        <w:rPr>
          <w:rFonts w:cs="Arial" w:ascii="Arial" w:hAnsi="Arial"/>
          <w:i/>
          <w:color w:val="000000" w:themeColor="text1"/>
          <w:sz w:val="20"/>
          <w:szCs w:val="20"/>
          <w:lang w:val="en-US"/>
        </w:rPr>
        <w:t>t</w:t>
      </w:r>
      <w:r>
        <w:rPr>
          <w:rFonts w:cs="Arial" w:ascii="Arial" w:hAnsi="Arial"/>
          <w:color w:val="000000" w:themeColor="text1"/>
          <w:sz w:val="20"/>
          <w:szCs w:val="20"/>
          <w:lang w:val="en-US"/>
        </w:rPr>
        <w:t xml:space="preserve">, </w:t>
      </w:r>
      <w:r>
        <w:rPr>
          <w:rFonts w:cs="Arial" w:ascii="Arial" w:hAnsi="Arial"/>
          <w:i/>
          <w:color w:val="000000" w:themeColor="text1"/>
          <w:sz w:val="20"/>
          <w:szCs w:val="20"/>
          <w:lang w:val="en-US"/>
        </w:rPr>
        <w:t>y</w:t>
      </w:r>
      <w:r>
        <w:rPr>
          <w:rFonts w:cs="Arial" w:ascii="Arial" w:hAnsi="Arial"/>
          <w:i/>
          <w:color w:val="000000" w:themeColor="text1"/>
          <w:sz w:val="20"/>
          <w:szCs w:val="20"/>
          <w:vertAlign w:val="subscript"/>
          <w:lang w:val="en-US"/>
        </w:rPr>
        <w:t>max</w:t>
      </w:r>
      <w:r>
        <w:rPr>
          <w:rFonts w:cs="Arial" w:ascii="Arial" w:hAnsi="Arial"/>
          <w:color w:val="000000" w:themeColor="text1"/>
          <w:sz w:val="20"/>
          <w:szCs w:val="20"/>
          <w:lang w:val="en-US"/>
        </w:rPr>
        <w:t xml:space="preserve"> is maximum heart rate and </w:t>
      </w:r>
      <w:r>
        <w:rPr>
          <w:rFonts w:cs="Arial" w:ascii="Arial" w:hAnsi="Arial"/>
          <w:i/>
          <w:color w:val="000000" w:themeColor="text1"/>
          <w:sz w:val="20"/>
          <w:szCs w:val="20"/>
          <w:lang w:val="en-US"/>
        </w:rPr>
        <w:t>y</w:t>
      </w:r>
      <w:r>
        <w:rPr>
          <w:rFonts w:cs="Arial" w:ascii="Arial" w:hAnsi="Arial"/>
          <w:i/>
          <w:color w:val="000000" w:themeColor="text1"/>
          <w:sz w:val="20"/>
          <w:szCs w:val="20"/>
          <w:vertAlign w:val="subscript"/>
          <w:lang w:val="en-US"/>
        </w:rPr>
        <w:t>th</w:t>
      </w:r>
      <w:r>
        <w:rPr>
          <w:rFonts w:cs="Arial" w:ascii="Arial" w:hAnsi="Arial"/>
          <w:color w:val="000000" w:themeColor="text1"/>
          <w:sz w:val="20"/>
          <w:szCs w:val="20"/>
          <w:lang w:val="en-US"/>
        </w:rPr>
        <w:t xml:space="preserve"> is the threshold for heart rate according to assumption 2. For computer implementation </w:t>
      </w:r>
      <w:r>
        <w:rPr/>
      </w:r>
      <m:oMath xmlns:m="http://schemas.openxmlformats.org/officeDocument/2006/math">
        <m:bar>
          <m:barPr>
            <m:pos m:val="top"/>
          </m:barPr>
          <m:e>
            <m:r>
              <w:rPr>
                <w:rFonts w:ascii="Cambria Math" w:hAnsi="Cambria Math"/>
              </w:rPr>
              <m:t xml:space="preserve">y</m:t>
            </m:r>
          </m:e>
        </m:bar>
        <m:d>
          <m:dPr>
            <m:begChr m:val="("/>
            <m:endChr m:val=")"/>
          </m:dPr>
          <m:e>
            <m:r>
              <w:rPr>
                <w:rFonts w:ascii="Cambria Math" w:hAnsi="Cambria Math"/>
              </w:rPr>
              <m:t xml:space="preserve">t</m:t>
            </m:r>
          </m:e>
        </m:d>
      </m:oMath>
      <w:r>
        <w:rPr>
          <w:rFonts w:cs="Arial" w:ascii="Arial" w:hAnsi="Arial"/>
          <w:color w:val="000000" w:themeColor="text1"/>
          <w:sz w:val="20"/>
          <w:szCs w:val="20"/>
          <w:lang w:val="en-US"/>
        </w:rPr>
        <w:t xml:space="preserve"> is capped,</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0,1</m:t>
            </m:r>
          </m:e>
        </m:d>
      </m:oMath>
      <w:r>
        <w:rPr>
          <w:rFonts w:eastAsia="" w:cs="Arial" w:ascii="Arial" w:hAnsi="Arial" w:eastAsiaTheme="minorEastAsia"/>
          <w:color w:val="000000" w:themeColor="text1"/>
          <w:sz w:val="20"/>
          <w:szCs w:val="20"/>
          <w:lang w:val="en-US"/>
        </w:rPr>
        <w:t xml:space="preserve">. </w:t>
      </w:r>
      <w:r>
        <w:rPr>
          <w:rFonts w:cs="Arial" w:ascii="Arial" w:hAnsi="Arial"/>
          <w:color w:val="000000" w:themeColor="text1"/>
          <w:sz w:val="20"/>
          <w:szCs w:val="20"/>
          <w:lang w:val="en-US"/>
        </w:rPr>
        <w:t xml:space="preserve">Normalized intensity </w:t>
      </w:r>
      <w:r>
        <w:rPr/>
      </w:r>
      <m:oMath xmlns:m="http://schemas.openxmlformats.org/officeDocument/2006/math">
        <m:bar>
          <m:barPr>
            <m:pos m:val="top"/>
          </m:barPr>
          <m:e>
            <m:r>
              <w:rPr>
                <w:rFonts w:ascii="Cambria Math" w:hAnsi="Cambria Math"/>
              </w:rPr>
              <m:t xml:space="preserve">y</m:t>
            </m:r>
          </m:e>
        </m:bar>
        <m:d>
          <m:dPr>
            <m:begChr m:val="("/>
            <m:endChr m:val=")"/>
          </m:dPr>
          <m:e>
            <m:r>
              <w:rPr>
                <w:rFonts w:ascii="Cambria Math" w:hAnsi="Cambria Math"/>
              </w:rPr>
              <m:t xml:space="preserve">t</m:t>
            </m:r>
          </m:e>
        </m:d>
      </m:oMath>
      <w:r>
        <w:rPr>
          <w:rFonts w:eastAsia="" w:cs="Arial" w:ascii="Arial" w:hAnsi="Arial" w:eastAsiaTheme="minorEastAsia"/>
          <w:color w:val="000000" w:themeColor="text1"/>
          <w:sz w:val="20"/>
          <w:szCs w:val="20"/>
          <w:lang w:val="en-US"/>
        </w:rPr>
        <w:t xml:space="preserve"> is further scaled with an exponential function containing two unknown coefficients </w:t>
      </w:r>
      <w:r>
        <w:rPr>
          <w:rFonts w:eastAsia="" w:cs="Arial" w:ascii="Arial" w:hAnsi="Arial" w:eastAsiaTheme="minorEastAsia"/>
          <w:i/>
          <w:color w:val="000000" w:themeColor="text1"/>
          <w:sz w:val="20"/>
          <w:szCs w:val="20"/>
          <w:lang w:val="en-US"/>
        </w:rPr>
        <w:t>c</w:t>
      </w:r>
      <w:r>
        <w:rPr>
          <w:rFonts w:eastAsia="" w:cs="Arial" w:ascii="Arial" w:hAnsi="Arial" w:eastAsiaTheme="minorEastAsia"/>
          <w:i/>
          <w:color w:val="000000" w:themeColor="text1"/>
          <w:sz w:val="20"/>
          <w:szCs w:val="20"/>
          <w:vertAlign w:val="subscript"/>
          <w:lang w:val="en-US"/>
        </w:rPr>
        <w:t>1</w:t>
      </w:r>
      <w:r>
        <w:rPr>
          <w:rFonts w:eastAsia="" w:cs="Arial" w:ascii="Arial" w:hAnsi="Arial" w:eastAsiaTheme="minorEastAsia"/>
          <w:color w:val="000000" w:themeColor="text1"/>
          <w:sz w:val="20"/>
          <w:szCs w:val="20"/>
          <w:lang w:val="en-US"/>
        </w:rPr>
        <w:t xml:space="preserve"> and </w:t>
      </w:r>
      <w:r>
        <w:rPr>
          <w:rFonts w:eastAsia="" w:cs="Arial" w:ascii="Arial" w:hAnsi="Arial" w:eastAsiaTheme="minorEastAsia"/>
          <w:i/>
          <w:color w:val="000000" w:themeColor="text1"/>
          <w:sz w:val="20"/>
          <w:szCs w:val="20"/>
          <w:lang w:val="en-US"/>
        </w:rPr>
        <w:t>c</w:t>
      </w:r>
      <w:r>
        <w:rPr>
          <w:rFonts w:eastAsia="" w:cs="Arial" w:ascii="Arial" w:hAnsi="Arial" w:eastAsiaTheme="minorEastAsia"/>
          <w:i/>
          <w:color w:val="000000" w:themeColor="text1"/>
          <w:sz w:val="20"/>
          <w:szCs w:val="20"/>
          <w:vertAlign w:val="subscript"/>
          <w:lang w:val="en-US"/>
        </w:rPr>
        <w:t>2</w:t>
      </w:r>
      <w:r>
        <w:rPr>
          <w:rFonts w:eastAsia="" w:cs="Arial" w:ascii="Arial" w:hAnsi="Arial" w:eastAsiaTheme="minorEastAsia"/>
          <w:color w:val="000000" w:themeColor="text1"/>
          <w:sz w:val="20"/>
          <w:szCs w:val="20"/>
          <w:lang w:val="en-US"/>
        </w:rPr>
        <w:t>:</w:t>
      </w:r>
    </w:p>
    <w:p>
      <w:pPr>
        <w:pStyle w:val="Normal"/>
        <w:spacing w:lineRule="auto" w:line="240"/>
        <w:rPr>
          <w:rFonts w:ascii="Arial" w:hAnsi="Arial" w:eastAsia="" w:cs="Arial" w:eastAsiaTheme="minorEastAsia"/>
          <w:color w:val="000000" w:themeColor="text1"/>
          <w:sz w:val="20"/>
          <w:szCs w:val="20"/>
          <w:lang w:val="en-US"/>
        </w:rPr>
      </w:pP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
          <m:dPr>
            <m:begChr m:val="("/>
            <m:endChr m:val=")"/>
          </m:dPr>
          <m:e>
            <m:sSup>
              <m:e>
                <m:r>
                  <w:rPr>
                    <w:rFonts w:ascii="Cambria Math" w:hAnsi="Cambria Math"/>
                  </w:rPr>
                  <m:t xml:space="preserve">e</m:t>
                </m:r>
              </m:e>
              <m:sup>
                <m:sSub>
                  <m:e>
                    <m:r>
                      <w:rPr>
                        <w:rFonts w:ascii="Cambria Math" w:hAnsi="Cambria Math"/>
                      </w:rPr>
                      <m:t xml:space="preserve">c</m:t>
                    </m:r>
                  </m:e>
                  <m:sub>
                    <m:r>
                      <w:rPr>
                        <w:rFonts w:ascii="Cambria Math" w:hAnsi="Cambria Math"/>
                      </w:rPr>
                      <m:t xml:space="preserve">2</m:t>
                    </m:r>
                  </m:sub>
                </m:sSub>
                <m:r>
                  <w:rPr>
                    <w:rFonts w:ascii="Cambria Math" w:hAnsi="Cambria Math"/>
                  </w:rPr>
                  <m:t xml:space="preserve">y</m:t>
                </m:r>
                <m:d>
                  <m:dPr>
                    <m:begChr m:val="("/>
                    <m:endChr m:val=")"/>
                  </m:dPr>
                  <m:e>
                    <m:r>
                      <w:rPr>
                        <w:rFonts w:ascii="Cambria Math" w:hAnsi="Cambria Math"/>
                      </w:rPr>
                      <m:t xml:space="preserve">t</m:t>
                    </m:r>
                  </m:e>
                </m:d>
              </m:sup>
            </m:sSup>
            <m:r>
              <w:rPr>
                <w:rFonts w:ascii="Cambria Math" w:hAnsi="Cambria Math"/>
              </w:rPr>
              <m:t xml:space="preserve">−</m:t>
            </m:r>
            <m:r>
              <w:rPr>
                <w:rFonts w:ascii="Cambria Math" w:hAnsi="Cambria Math"/>
              </w:rPr>
              <m:t xml:space="preserve">1</m:t>
            </m:r>
          </m:e>
        </m:d>
      </m:oMath>
    </w:p>
    <w:p>
      <w:pPr>
        <w:pStyle w:val="Normal"/>
        <w:spacing w:lineRule="auto" w:line="240"/>
        <w:rPr>
          <w:rFonts w:ascii="Arial" w:hAnsi="Arial" w:eastAsia="" w:cs="Arial" w:eastAsiaTheme="minorEastAsia"/>
          <w:color w:val="000000" w:themeColor="text1"/>
          <w:sz w:val="20"/>
          <w:szCs w:val="20"/>
          <w:lang w:val="en-US"/>
        </w:rPr>
      </w:pPr>
      <w:r>
        <w:rPr>
          <w:rFonts w:eastAsia="" w:cs="Arial" w:ascii="Arial" w:hAnsi="Arial" w:eastAsiaTheme="minorEastAsia"/>
          <w:color w:val="000000" w:themeColor="text1"/>
          <w:sz w:val="20"/>
          <w:szCs w:val="20"/>
          <w:lang w:val="en-US"/>
        </w:rPr>
        <w:t xml:space="preserve">where </w:t>
      </w:r>
      <w:r>
        <w:rPr>
          <w:rFonts w:eastAsia="" w:cs="Arial" w:ascii="Arial" w:hAnsi="Arial" w:eastAsiaTheme="minorEastAsia"/>
          <w:i/>
          <w:color w:val="000000" w:themeColor="text1"/>
          <w:sz w:val="20"/>
          <w:szCs w:val="20"/>
          <w:lang w:val="en-US"/>
        </w:rPr>
        <w:t>z(t)</w:t>
      </w:r>
      <w:r>
        <w:rPr>
          <w:rFonts w:eastAsia="" w:cs="Arial" w:ascii="Arial" w:hAnsi="Arial" w:eastAsiaTheme="minorEastAsia"/>
          <w:color w:val="000000" w:themeColor="text1"/>
          <w:sz w:val="20"/>
          <w:szCs w:val="20"/>
          <w:lang w:val="en-US"/>
        </w:rPr>
        <w:t xml:space="preserve"> is referred to as the intensity score (nonlinearly scaled intensity). To assess the exercise level for one week the time-integral (assumption 4) is calculated to give an activity score:</w:t>
      </w:r>
    </w:p>
    <w:p>
      <w:pPr>
        <w:pStyle w:val="Normal"/>
        <w:spacing w:lineRule="auto" w:line="240"/>
        <w:rPr>
          <w:rFonts w:ascii="Arial" w:hAnsi="Arial" w:eastAsia="" w:cs="Arial" w:eastAsiaTheme="minorEastAsia"/>
          <w:color w:val="000000" w:themeColor="text1"/>
          <w:sz w:val="20"/>
          <w:szCs w:val="20"/>
          <w:lang w:val="en-US"/>
        </w:rPr>
      </w:pPr>
      <w:r>
        <w:rPr/>
      </w:r>
      <m:oMath xmlns:m="http://schemas.openxmlformats.org/officeDocument/2006/math">
        <m:r>
          <w:rPr>
            <w:rFonts w:ascii="Cambria Math" w:hAnsi="Cambria Math"/>
          </w:rPr>
          <m:t xml:space="preserve">P</m:t>
        </m:r>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T</m:t>
            </m:r>
          </m:sub>
          <m:sup>
            <m:r>
              <w:rPr>
                <w:rFonts w:ascii="Cambria Math" w:hAnsi="Cambria Math"/>
              </w:rPr>
              <m:t xml:space="preserve">0</m:t>
            </m:r>
          </m:sup>
          <m:e>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e>
        </m:nary>
      </m:oMath>
    </w:p>
    <w:p>
      <w:pPr>
        <w:pStyle w:val="Normal"/>
        <w:spacing w:lineRule="auto" w:line="240"/>
        <w:rPr>
          <w:rFonts w:ascii="Arial" w:hAnsi="Arial" w:cs="Arial"/>
          <w:color w:val="000000" w:themeColor="text1"/>
          <w:sz w:val="20"/>
          <w:szCs w:val="20"/>
          <w:lang w:val="en-US"/>
        </w:rPr>
      </w:pPr>
      <w:r>
        <w:rPr>
          <w:rFonts w:cs="Arial" w:ascii="Arial" w:hAnsi="Arial"/>
          <w:color w:val="000000" w:themeColor="text1"/>
          <w:sz w:val="20"/>
          <w:szCs w:val="20"/>
          <w:lang w:val="en-US"/>
        </w:rPr>
        <w:t xml:space="preserve">where </w:t>
      </w:r>
      <w:r>
        <w:rPr>
          <w:rFonts w:cs="Arial" w:ascii="Arial" w:hAnsi="Arial"/>
          <w:i/>
          <w:color w:val="000000" w:themeColor="text1"/>
          <w:sz w:val="20"/>
          <w:szCs w:val="20"/>
          <w:lang w:val="en-US"/>
        </w:rPr>
        <w:t>–T</w:t>
      </w:r>
      <w:r>
        <w:rPr>
          <w:rFonts w:cs="Arial" w:ascii="Arial" w:hAnsi="Arial"/>
          <w:color w:val="000000" w:themeColor="text1"/>
          <w:sz w:val="20"/>
          <w:szCs w:val="20"/>
          <w:lang w:val="en-US"/>
        </w:rPr>
        <w:t xml:space="preserve"> is the time one week since time </w:t>
      </w:r>
      <w:r>
        <w:rPr>
          <w:rFonts w:cs="Arial" w:ascii="Arial" w:hAnsi="Arial"/>
          <w:i/>
          <w:color w:val="000000" w:themeColor="text1"/>
          <w:sz w:val="20"/>
          <w:szCs w:val="20"/>
          <w:lang w:val="en-US"/>
        </w:rPr>
        <w:t xml:space="preserve">t </w:t>
      </w:r>
      <w:r>
        <w:rPr>
          <w:rFonts w:cs="Arial" w:ascii="Arial" w:hAnsi="Arial"/>
          <w:color w:val="000000" w:themeColor="text1"/>
          <w:sz w:val="20"/>
          <w:szCs w:val="20"/>
          <w:lang w:val="en-US"/>
        </w:rPr>
        <w:t>[minutes]. Finally, a health-predictive activity score is calculated according to assumption 5 containing two unknown coefficients c3 and c4, representing offset and decay level respectively:</w:t>
      </w:r>
    </w:p>
    <w:p>
      <w:pPr>
        <w:pStyle w:val="Normal"/>
        <w:spacing w:lineRule="auto" w:line="240"/>
        <w:rPr>
          <w:rFonts w:ascii="Arial" w:hAnsi="Arial" w:eastAsia="" w:cs="Arial" w:eastAsiaTheme="minorEastAsia"/>
          <w:color w:val="000000" w:themeColor="text1"/>
          <w:sz w:val="20"/>
          <w:szCs w:val="20"/>
          <w:lang w:val="en-US"/>
        </w:rPr>
      </w:pPr>
      <w:r>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P</m:t>
                </m:r>
              </m:sup>
            </m:sSup>
          </m:e>
        </m:d>
      </m:oMath>
    </w:p>
    <w:p>
      <w:pPr>
        <w:pStyle w:val="Normal"/>
        <w:spacing w:lineRule="auto" w:line="240" w:before="0" w:after="0"/>
        <w:rPr>
          <w:rFonts w:ascii="Arial" w:hAnsi="Arial" w:cs="Arial"/>
          <w:i/>
          <w:i/>
          <w:color w:val="000000" w:themeColor="text1"/>
          <w:sz w:val="20"/>
          <w:szCs w:val="20"/>
          <w:lang w:val="en-US"/>
        </w:rPr>
      </w:pPr>
      <w:r>
        <w:rPr>
          <w:rFonts w:cs="Arial" w:ascii="Arial" w:hAnsi="Arial"/>
          <w:color w:val="000000" w:themeColor="text1"/>
          <w:sz w:val="20"/>
          <w:szCs w:val="20"/>
          <w:lang w:val="en-US"/>
        </w:rPr>
        <w:t>The derivation cohort was used to estimate the coefficients c</w:t>
      </w:r>
      <w:r>
        <w:rPr>
          <w:rFonts w:cs="Arial" w:ascii="Arial" w:hAnsi="Arial"/>
          <w:color w:val="000000" w:themeColor="text1"/>
          <w:sz w:val="20"/>
          <w:szCs w:val="20"/>
          <w:vertAlign w:val="subscript"/>
          <w:lang w:val="en-US"/>
        </w:rPr>
        <w:t>1</w:t>
      </w:r>
      <w:r>
        <w:rPr>
          <w:rFonts w:cs="Arial" w:ascii="Arial" w:hAnsi="Arial"/>
          <w:color w:val="000000" w:themeColor="text1"/>
          <w:sz w:val="20"/>
          <w:szCs w:val="20"/>
          <w:lang w:val="en-US"/>
        </w:rPr>
        <w:t xml:space="preserve"> to c</w:t>
      </w:r>
      <w:r>
        <w:rPr>
          <w:rFonts w:cs="Arial" w:ascii="Arial" w:hAnsi="Arial"/>
          <w:color w:val="000000" w:themeColor="text1"/>
          <w:sz w:val="20"/>
          <w:szCs w:val="20"/>
          <w:vertAlign w:val="subscript"/>
          <w:lang w:val="en-US"/>
        </w:rPr>
        <w:t>4</w:t>
      </w:r>
      <w:r>
        <w:rPr>
          <w:rFonts w:cs="Arial" w:ascii="Arial" w:hAnsi="Arial"/>
          <w:color w:val="000000" w:themeColor="text1"/>
          <w:sz w:val="20"/>
          <w:szCs w:val="20"/>
          <w:lang w:val="en-US"/>
        </w:rPr>
        <w:t>. We used the findings from our previous work</w:t>
      </w:r>
      <w:r>
        <w:rPr>
          <w:rFonts w:cs="Arial" w:ascii="Arial" w:hAnsi="Arial"/>
          <w:color w:val="000000" w:themeColor="text1"/>
          <w:sz w:val="20"/>
          <w:szCs w:val="20"/>
          <w:vertAlign w:val="superscript"/>
          <w:lang w:val="en-US"/>
        </w:rPr>
        <w:t>3</w:t>
      </w:r>
      <w:bookmarkStart w:id="1" w:name="_GoBack"/>
      <w:bookmarkEnd w:id="1"/>
      <w:r>
        <w:rPr>
          <w:rFonts w:cs="Arial" w:ascii="Arial" w:hAnsi="Arial"/>
          <w:color w:val="000000" w:themeColor="text1"/>
          <w:sz w:val="20"/>
          <w:szCs w:val="20"/>
          <w:lang w:val="en-US"/>
        </w:rPr>
        <w:t xml:space="preserve"> where a non-exercise model to estimate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xml:space="preserve"> was developed. The same four parameters was used to set up a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xml:space="preserve"> estimator; i.e., physical activity, age, BMI/WC and RHR, where the model presented above, </w:t>
      </w:r>
      <w:r>
        <w:rPr>
          <w:rFonts w:cs="Arial" w:ascii="Arial" w:hAnsi="Arial"/>
          <w:i/>
          <w:color w:val="000000" w:themeColor="text1"/>
          <w:sz w:val="20"/>
          <w:szCs w:val="20"/>
          <w:lang w:val="en-US"/>
        </w:rPr>
        <w:t>V(t, {y</w:t>
      </w:r>
      <w:r>
        <w:rPr>
          <w:rFonts w:cs="Arial" w:ascii="Arial" w:hAnsi="Arial"/>
          <w:i/>
          <w:color w:val="000000" w:themeColor="text1"/>
          <w:sz w:val="20"/>
          <w:szCs w:val="20"/>
          <w:vertAlign w:val="subscript"/>
          <w:lang w:val="en-US"/>
        </w:rPr>
        <w:t>t</w:t>
      </w:r>
      <w:r>
        <w:rPr>
          <w:rFonts w:cs="Arial" w:ascii="Arial" w:hAnsi="Arial"/>
          <w:i/>
          <w:color w:val="000000" w:themeColor="text1"/>
          <w:sz w:val="20"/>
          <w:szCs w:val="20"/>
          <w:lang w:val="en-US"/>
        </w:rPr>
        <w:t xml:space="preserve">, </w:t>
      </w:r>
      <w:r>
        <w:rPr/>
      </w:r>
      <m:oMath xmlns:m="http://schemas.openxmlformats.org/officeDocument/2006/math">
        <m:r>
          <w:rPr>
            <w:rFonts w:ascii="Cambria Math" w:hAnsi="Cambria Math"/>
          </w:rPr>
          <m:t xml:space="preserve">∈</m:t>
        </m:r>
      </m:oMath>
      <w:r>
        <w:rPr>
          <w:rFonts w:cs="Arial" w:ascii="Arial" w:hAnsi="Arial"/>
          <w:i/>
          <w:color w:val="000000" w:themeColor="text1"/>
          <w:sz w:val="20"/>
          <w:szCs w:val="20"/>
          <w:lang w:val="en-US"/>
        </w:rPr>
        <w:t xml:space="preserve"> T}, y</w:t>
      </w:r>
      <w:r>
        <w:rPr>
          <w:rFonts w:cs="Arial" w:ascii="Arial" w:hAnsi="Arial"/>
          <w:i/>
          <w:color w:val="000000" w:themeColor="text1"/>
          <w:sz w:val="20"/>
          <w:szCs w:val="20"/>
          <w:vertAlign w:val="subscript"/>
          <w:lang w:val="en-US"/>
        </w:rPr>
        <w:t>max</w:t>
      </w:r>
      <w:r>
        <w:rPr>
          <w:rFonts w:cs="Arial" w:ascii="Arial" w:hAnsi="Arial"/>
          <w:i/>
          <w:color w:val="000000" w:themeColor="text1"/>
          <w:sz w:val="20"/>
          <w:szCs w:val="20"/>
          <w:lang w:val="en-US"/>
        </w:rPr>
        <w:t>, y</w:t>
      </w:r>
      <w:r>
        <w:rPr>
          <w:rFonts w:cs="Arial" w:ascii="Arial" w:hAnsi="Arial"/>
          <w:i/>
          <w:color w:val="000000" w:themeColor="text1"/>
          <w:sz w:val="20"/>
          <w:szCs w:val="20"/>
          <w:vertAlign w:val="subscript"/>
          <w:lang w:val="en-US"/>
        </w:rPr>
        <w:t>th</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1</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2</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3</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4</w:t>
      </w:r>
      <w:r>
        <w:rPr>
          <w:rFonts w:cs="Arial" w:ascii="Arial" w:hAnsi="Arial"/>
          <w:i/>
          <w:color w:val="000000" w:themeColor="text1"/>
          <w:sz w:val="20"/>
          <w:szCs w:val="20"/>
          <w:lang w:val="en-US"/>
        </w:rPr>
        <w:t>, T) replaced the static index for physical activity used in the previous study</w:t>
      </w:r>
      <w:r>
        <w:rPr>
          <w:rFonts w:cs="Arial" w:ascii="Arial" w:hAnsi="Arial"/>
          <w:i/>
          <w:color w:val="000000" w:themeColor="text1"/>
          <w:sz w:val="20"/>
          <w:szCs w:val="20"/>
          <w:vertAlign w:val="superscript"/>
          <w:lang w:val="en-US"/>
        </w:rPr>
        <w:t>3</w:t>
      </w:r>
      <w:r>
        <w:rPr>
          <w:rFonts w:cs="Arial" w:ascii="Arial" w:hAnsi="Arial"/>
          <w:i/>
          <w:color w:val="000000" w:themeColor="text1"/>
          <w:sz w:val="20"/>
          <w:szCs w:val="20"/>
          <w:lang w:val="en-US"/>
        </w:rPr>
        <w:t xml:space="preserve">. </w:t>
      </w:r>
    </w:p>
    <w:p>
      <w:pPr>
        <w:pStyle w:val="Normal"/>
        <w:spacing w:lineRule="auto" w:line="240" w:before="0" w:after="0"/>
        <w:rPr>
          <w:rFonts w:ascii="Arial" w:hAnsi="Arial" w:eastAsia="" w:cs="Arial" w:eastAsiaTheme="minorEastAsia"/>
          <w:i/>
          <w:i/>
          <w:color w:val="000000" w:themeColor="text1"/>
          <w:sz w:val="20"/>
          <w:szCs w:val="20"/>
          <w:lang w:val="en-US"/>
        </w:rPr>
      </w:pPr>
      <w:r>
        <w:rPr>
          <w:rFonts w:eastAsia="" w:cs="Arial" w:eastAsiaTheme="minorEastAsia" w:ascii="Arial" w:hAnsi="Arial"/>
          <w:i/>
          <w:color w:val="000000" w:themeColor="text1"/>
          <w:sz w:val="20"/>
          <w:szCs w:val="20"/>
          <w:lang w:val="en-US"/>
        </w:rPr>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t>A least-square cost function was then designed, fitting estimated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xml:space="preserve"> with measured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and solved using nonlinear programming (quasi-newton method) in Matlab (R2013a). Estimated model coefficients were:</w:t>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Coefficient</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Men</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Women</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1</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10.1817</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9.8556</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2</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5.7808</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5.0167</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3</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41.9374</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34.2325</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4</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9.8382</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9.7581</w:t>
            </w:r>
          </w:p>
        </w:tc>
      </w:tr>
    </w:tbl>
    <w:p>
      <w:pPr>
        <w:pStyle w:val="Normal"/>
        <w:spacing w:lineRule="auto" w:line="240" w:before="0" w:after="0"/>
        <w:rPr>
          <w:rFonts w:ascii="Arial" w:hAnsi="Arial" w:eastAsia="" w:cs="Arial" w:eastAsiaTheme="minorEastAsia"/>
          <w:i/>
          <w:i/>
          <w:color w:val="000000" w:themeColor="text1"/>
          <w:sz w:val="20"/>
          <w:szCs w:val="20"/>
          <w:lang w:val="en-US"/>
        </w:rPr>
      </w:pPr>
      <w:r>
        <w:rPr>
          <w:rFonts w:eastAsia="" w:cs="Arial" w:eastAsiaTheme="minorEastAsia" w:ascii="Arial" w:hAnsi="Arial"/>
          <w:i/>
          <w:color w:val="000000" w:themeColor="text1"/>
          <w:sz w:val="20"/>
          <w:szCs w:val="20"/>
          <w:lang w:val="en-US"/>
        </w:rPr>
      </w:r>
    </w:p>
    <w:p>
      <w:pPr>
        <w:pStyle w:val="Normal"/>
        <w:spacing w:lineRule="auto" w:line="240" w:before="240" w:after="240"/>
        <w:rPr>
          <w:rFonts w:ascii="Arial" w:hAnsi="Arial" w:cs="Arial"/>
          <w:color w:val="000000" w:themeColor="text1"/>
          <w:sz w:val="20"/>
          <w:szCs w:val="20"/>
          <w:lang w:val="en-US"/>
        </w:rPr>
      </w:pPr>
      <w:r>
        <w:rPr>
          <w:rFonts w:cs="Arial" w:ascii="Arial" w:hAnsi="Arial"/>
          <w:color w:val="000000" w:themeColor="text1"/>
          <w:sz w:val="20"/>
          <w:szCs w:val="20"/>
          <w:lang w:val="en-US"/>
        </w:rPr>
        <w:t>The predictor V is inconvenient for practical implementation and readability. Therefore, PAI was designed as a linear scaling ranging from 0 at complete inactivity to 100 representing recommended activity level. PAI=100, approximated to two sessions per week of 4x4 minutes bouts of high-intensity exercise interspersed with 3 minutes’ active recovery, as previously suggested to be adequate activity level.</w:t>
      </w:r>
      <w:r>
        <w:rPr>
          <w:rFonts w:cs="Arial" w:ascii="Arial" w:hAnsi="Arial"/>
          <w:color w:val="000000" w:themeColor="text1"/>
          <w:sz w:val="20"/>
          <w:szCs w:val="20"/>
          <w:vertAlign w:val="superscript"/>
          <w:lang w:val="en-US"/>
        </w:rPr>
        <w:t>2, 4-7</w:t>
      </w:r>
      <w:r>
        <w:rPr>
          <w:rFonts w:cs="Arial" w:ascii="Arial" w:hAnsi="Arial"/>
          <w:color w:val="000000" w:themeColor="text1"/>
          <w:sz w:val="20"/>
          <w:szCs w:val="20"/>
          <w:lang w:val="en-US"/>
        </w:rPr>
        <w:t>. PAI will further increase above 100 but not expected provide additional significant health benefit.</w:t>
      </w:r>
      <w:bookmarkEnd w:id="0"/>
    </w:p>
    <w:p>
      <w:pPr>
        <w:pStyle w:val="Normal"/>
        <w:spacing w:lineRule="auto" w:line="240" w:before="0" w:after="0"/>
        <w:rPr>
          <w:rFonts w:ascii="Arial" w:hAnsi="Arial" w:cs="Arial"/>
          <w:b/>
          <w:b/>
          <w:sz w:val="20"/>
        </w:rPr>
      </w:pPr>
      <w:r>
        <w:rPr>
          <w:rFonts w:cs="Arial" w:ascii="Arial" w:hAnsi="Arial"/>
          <w:b/>
          <w:sz w:val="20"/>
        </w:rPr>
      </w:r>
    </w:p>
    <w:p>
      <w:pPr>
        <w:pStyle w:val="Normal"/>
        <w:spacing w:lineRule="auto" w:line="240" w:before="0" w:after="0"/>
        <w:rPr>
          <w:rFonts w:ascii="Arial" w:hAnsi="Arial" w:cs="Arial"/>
          <w:b/>
          <w:b/>
          <w:sz w:val="20"/>
        </w:rPr>
      </w:pPr>
      <w:r>
        <w:rPr>
          <w:rFonts w:cs="Arial" w:ascii="Arial" w:hAnsi="Arial"/>
          <w:b/>
          <w:sz w:val="20"/>
        </w:rPr>
        <w:t>Examples of exercise to achieve PAI</w:t>
      </w:r>
    </w:p>
    <w:p>
      <w:pPr>
        <w:pStyle w:val="Normal"/>
        <w:spacing w:lineRule="auto" w:line="240" w:before="0" w:after="0"/>
        <w:rPr>
          <w:rFonts w:ascii="Arial" w:hAnsi="Arial" w:cs="Arial"/>
          <w:sz w:val="20"/>
          <w:szCs w:val="24"/>
        </w:rPr>
      </w:pPr>
      <w:r>
        <w:rPr>
          <w:rFonts w:cs="Arial" w:ascii="Arial" w:hAnsi="Arial"/>
          <w:sz w:val="20"/>
          <w:szCs w:val="24"/>
        </w:rPr>
        <w:t xml:space="preserve">PAI can be achieved by performing exercise/physical activity at various doses of quantity and intensity. For example, </w:t>
      </w:r>
      <w:r>
        <w:rPr>
          <w:rFonts w:cs="Arial" w:ascii="Arial" w:hAnsi="Arial"/>
          <w:sz w:val="20"/>
          <w:szCs w:val="20"/>
        </w:rPr>
        <w:t>performing 150 minutes at light intensity exercise (~44 %HRR) per week contributes to approximately 38 PA</w:t>
      </w:r>
      <w:r>
        <w:rPr>
          <w:rFonts w:cs="Arial" w:ascii="Arial" w:hAnsi="Arial"/>
          <w:sz w:val="20"/>
          <w:szCs w:val="24"/>
        </w:rPr>
        <w:t>I. The recommended amount of 100 PAI can be achieved by a minimum of 40 minutes of vigorous intensity exercise (~85 %heart rate reserve) per week, or 60 minutes of moderate intensity exercise (~75 %heart rate reserve) per week or a combination of light, moderate or vigorous intensity exercise.</w:t>
      </w:r>
    </w:p>
    <w:p>
      <w:pPr>
        <w:pStyle w:val="Normal"/>
        <w:spacing w:lineRule="auto" w:line="240" w:before="0" w:after="0"/>
        <w:rPr>
          <w:rFonts w:ascii="Arial" w:hAnsi="Arial" w:cs="Arial"/>
          <w:sz w:val="20"/>
          <w:szCs w:val="24"/>
        </w:rPr>
      </w:pPr>
      <w:r>
        <w:rPr>
          <w:rFonts w:cs="Arial" w:ascii="Arial" w:hAnsi="Arial"/>
          <w:sz w:val="20"/>
          <w:szCs w:val="24"/>
        </w:rPr>
      </w:r>
    </w:p>
    <w:p>
      <w:pPr>
        <w:pStyle w:val="Normal"/>
        <w:spacing w:lineRule="auto" w:line="240" w:before="0" w:after="0"/>
        <w:rPr>
          <w:rFonts w:ascii="Arial" w:hAnsi="Arial" w:cs="Arial"/>
          <w:sz w:val="20"/>
          <w:szCs w:val="24"/>
        </w:rPr>
      </w:pPr>
      <w:r>
        <w:rPr>
          <w:rFonts w:cs="Arial" w:ascii="Arial" w:hAnsi="Arial"/>
          <w:sz w:val="20"/>
          <w:szCs w:val="24"/>
        </w:rPr>
      </w:r>
    </w:p>
    <w:p>
      <w:pPr>
        <w:pStyle w:val="Normal"/>
        <w:spacing w:lineRule="auto" w:line="240" w:before="0" w:after="0"/>
        <w:rPr>
          <w:rFonts w:ascii="Arial" w:hAnsi="Arial" w:cs="Arial"/>
          <w:b/>
          <w:b/>
          <w:sz w:val="20"/>
          <w:szCs w:val="24"/>
        </w:rPr>
      </w:pPr>
      <w:r>
        <w:rPr>
          <w:rFonts w:cs="Arial" w:ascii="Arial" w:hAnsi="Arial"/>
          <w:b/>
          <w:sz w:val="20"/>
          <w:szCs w:val="24"/>
        </w:rPr>
        <w:t>References</w:t>
      </w:r>
    </w:p>
    <w:p>
      <w:pPr>
        <w:pStyle w:val="Normal"/>
        <w:spacing w:lineRule="auto" w:line="240" w:before="0" w:after="0"/>
        <w:rPr>
          <w:rFonts w:ascii="Arial" w:hAnsi="Arial" w:cs="Arial"/>
          <w:b/>
          <w:b/>
          <w:sz w:val="20"/>
          <w:szCs w:val="24"/>
        </w:rPr>
      </w:pPr>
      <w:r>
        <w:rPr>
          <w:rFonts w:cs="Arial" w:ascii="Arial" w:hAnsi="Arial"/>
          <w:b/>
          <w:sz w:val="20"/>
          <w:szCs w:val="24"/>
        </w:rPr>
      </w:r>
    </w:p>
    <w:p>
      <w:pPr>
        <w:pStyle w:val="ListParagraph"/>
        <w:numPr>
          <w:ilvl w:val="0"/>
          <w:numId w:val="2"/>
        </w:numPr>
        <w:spacing w:lineRule="auto" w:line="240" w:before="120" w:after="120"/>
        <w:ind w:left="714" w:hanging="357"/>
        <w:contextualSpacing/>
        <w:rPr>
          <w:rFonts w:ascii="Arial" w:hAnsi="Arial" w:cs="Arial"/>
          <w:sz w:val="18"/>
          <w:szCs w:val="20"/>
        </w:rPr>
      </w:pPr>
      <w:r>
        <w:rPr>
          <w:rFonts w:cs="Arial" w:ascii="Arial" w:hAnsi="Arial"/>
          <w:sz w:val="20"/>
        </w:rPr>
        <w:t xml:space="preserve">Swain DP, Franklin BA. VO(2) reserve and the minimal intensity for improving cardiorespiratory fitness. </w:t>
      </w:r>
      <w:r>
        <w:rPr>
          <w:rFonts w:cs="Arial" w:ascii="Arial" w:hAnsi="Arial"/>
          <w:i/>
          <w:sz w:val="20"/>
        </w:rPr>
        <w:t xml:space="preserve">Medicine and science in sports and exercise. </w:t>
      </w:r>
      <w:r>
        <w:rPr>
          <w:rFonts w:cs="Arial" w:ascii="Arial" w:hAnsi="Arial"/>
          <w:sz w:val="20"/>
        </w:rPr>
        <w:t>2002;34(1):152-157.</w:t>
      </w:r>
    </w:p>
    <w:p>
      <w:pPr>
        <w:pStyle w:val="ListParagraph"/>
        <w:numPr>
          <w:ilvl w:val="0"/>
          <w:numId w:val="2"/>
        </w:numPr>
        <w:spacing w:lineRule="auto" w:line="240" w:before="120" w:after="120"/>
        <w:contextualSpacing/>
        <w:rPr>
          <w:rFonts w:ascii="Arial" w:hAnsi="Arial" w:cs="Arial"/>
          <w:sz w:val="20"/>
          <w:szCs w:val="20"/>
        </w:rPr>
      </w:pPr>
      <w:r>
        <w:rPr>
          <w:rFonts w:cs="Arial" w:ascii="Arial" w:hAnsi="Arial"/>
          <w:sz w:val="20"/>
          <w:szCs w:val="20"/>
        </w:rPr>
        <w:t xml:space="preserve">Nes BM, Janszky I, Aspenes ST, Bertheussen GF, Vatten LJ, Wisloff U. Exercise patterns and peak oxygen uptake in a healthy population: the HUNT study. </w:t>
      </w:r>
      <w:r>
        <w:rPr>
          <w:rFonts w:cs="Arial" w:ascii="Arial" w:hAnsi="Arial"/>
          <w:i/>
          <w:sz w:val="20"/>
          <w:szCs w:val="20"/>
        </w:rPr>
        <w:t xml:space="preserve">Medicine and science in sports and exercise. </w:t>
      </w:r>
      <w:r>
        <w:rPr>
          <w:rFonts w:cs="Arial" w:ascii="Arial" w:hAnsi="Arial"/>
          <w:sz w:val="20"/>
          <w:szCs w:val="20"/>
        </w:rPr>
        <w:t>2012;44(10):1881-1889.</w:t>
      </w:r>
    </w:p>
    <w:p>
      <w:pPr>
        <w:pStyle w:val="ListParagraph"/>
        <w:numPr>
          <w:ilvl w:val="0"/>
          <w:numId w:val="2"/>
        </w:numPr>
        <w:spacing w:lineRule="auto" w:line="240" w:before="0" w:after="0"/>
        <w:ind w:left="714" w:hanging="357"/>
        <w:contextualSpacing/>
        <w:rPr>
          <w:rFonts w:ascii="Arial" w:hAnsi="Arial" w:cs="Arial"/>
          <w:sz w:val="20"/>
          <w:szCs w:val="20"/>
        </w:rPr>
      </w:pPr>
      <w:r>
        <w:rPr>
          <w:rFonts w:cs="Arial" w:ascii="Arial" w:hAnsi="Arial"/>
          <w:sz w:val="20"/>
          <w:szCs w:val="20"/>
        </w:rPr>
        <w:t xml:space="preserve">Nes BM, Janszky I, Vatten LJ, Nilsen TI, Aspenes ST, Wisloff U. Estimating V.O2peak from a nonexercise prediction model: the HUNT Study, Norway. </w:t>
      </w:r>
      <w:r>
        <w:rPr>
          <w:rFonts w:cs="Arial" w:ascii="Arial" w:hAnsi="Arial"/>
          <w:i/>
          <w:sz w:val="20"/>
          <w:szCs w:val="20"/>
        </w:rPr>
        <w:t xml:space="preserve">Medicine and science in sports and exercise. </w:t>
      </w:r>
      <w:r>
        <w:rPr>
          <w:rFonts w:cs="Arial" w:ascii="Arial" w:hAnsi="Arial"/>
          <w:sz w:val="20"/>
          <w:szCs w:val="20"/>
        </w:rPr>
        <w:t>2011;43(11):2024-2030.</w:t>
      </w:r>
    </w:p>
    <w:p>
      <w:pPr>
        <w:pStyle w:val="Heading1"/>
        <w:numPr>
          <w:ilvl w:val="0"/>
          <w:numId w:val="2"/>
        </w:numPr>
        <w:shd w:val="clear" w:color="auto" w:fill="FFFFFF"/>
        <w:spacing w:before="280" w:after="280"/>
        <w:ind w:left="714" w:hanging="357"/>
        <w:rPr>
          <w:rFonts w:ascii="Arial" w:hAnsi="Arial" w:cs="Arial"/>
          <w:b w:val="false"/>
          <w:b w:val="false"/>
          <w:color w:val="000000"/>
          <w:sz w:val="20"/>
          <w:szCs w:val="20"/>
        </w:rPr>
      </w:pPr>
      <w:r>
        <w:rPr>
          <w:rFonts w:cs="Arial" w:ascii="Arial" w:hAnsi="Arial"/>
          <w:b w:val="false"/>
          <w:sz w:val="20"/>
          <w:szCs w:val="20"/>
          <w:lang w:val="nb-NO"/>
        </w:rPr>
        <w:t xml:space="preserve">Tjønna AE, Leinan IM, Bartnes AT, et al. </w:t>
      </w:r>
      <w:r>
        <w:rPr>
          <w:rFonts w:cs="Arial" w:ascii="Arial" w:hAnsi="Arial"/>
          <w:b w:val="false"/>
          <w:color w:val="000000"/>
          <w:sz w:val="20"/>
          <w:szCs w:val="20"/>
        </w:rPr>
        <w:t xml:space="preserve">Low- and high-volume of intensive endurance training significantly improves maximal oxygen uptake after 10-weeks of training in healthy men. </w:t>
      </w:r>
      <w:r>
        <w:rPr>
          <w:rFonts w:cs="Arial" w:ascii="Arial" w:hAnsi="Arial"/>
          <w:b w:val="false"/>
          <w:i/>
          <w:color w:val="000000" w:themeColor="text1"/>
          <w:sz w:val="20"/>
          <w:szCs w:val="20"/>
        </w:rPr>
        <w:t>PLoS One</w:t>
      </w:r>
      <w:r>
        <w:rPr>
          <w:rFonts w:cs="Arial" w:ascii="Arial" w:hAnsi="Arial"/>
          <w:b w:val="false"/>
          <w:color w:val="000000" w:themeColor="text1"/>
          <w:sz w:val="20"/>
          <w:szCs w:val="20"/>
        </w:rPr>
        <w:t xml:space="preserve"> 2013;8(5):e65382</w:t>
      </w:r>
    </w:p>
    <w:p>
      <w:pPr>
        <w:pStyle w:val="Heading1"/>
        <w:numPr>
          <w:ilvl w:val="0"/>
          <w:numId w:val="2"/>
        </w:numPr>
        <w:shd w:val="clear" w:color="auto" w:fill="FFFFFF"/>
        <w:spacing w:before="280" w:after="280"/>
        <w:ind w:left="714" w:hanging="357"/>
        <w:rPr>
          <w:rFonts w:ascii="Arial" w:hAnsi="Arial" w:cs="Arial"/>
          <w:b w:val="false"/>
          <w:b w:val="false"/>
          <w:sz w:val="20"/>
          <w:szCs w:val="20"/>
        </w:rPr>
      </w:pPr>
      <w:r>
        <w:rPr>
          <w:rFonts w:cs="Arial" w:ascii="Arial" w:hAnsi="Arial"/>
          <w:b w:val="false"/>
          <w:sz w:val="20"/>
          <w:szCs w:val="20"/>
          <w:lang w:val="nb-NO"/>
        </w:rPr>
        <w:t xml:space="preserve">Helgerud J, Høydal K, Wang E, et al. </w:t>
      </w:r>
      <w:r>
        <w:rPr>
          <w:rFonts w:cs="Arial" w:ascii="Arial" w:hAnsi="Arial"/>
          <w:b w:val="false"/>
          <w:color w:val="000000"/>
          <w:sz w:val="20"/>
          <w:szCs w:val="20"/>
        </w:rPr>
        <w:t xml:space="preserve">Aerobic high-intensity intervals improve VO2max more than moderate training. </w:t>
      </w:r>
      <w:r>
        <w:rPr>
          <w:rFonts w:cs="Arial" w:ascii="Arial" w:hAnsi="Arial"/>
          <w:b w:val="false"/>
          <w:i/>
          <w:sz w:val="20"/>
          <w:szCs w:val="20"/>
        </w:rPr>
        <w:t>Medicine and science in sports and exercise.</w:t>
      </w:r>
      <w:r>
        <w:rPr>
          <w:rFonts w:cs="Arial" w:ascii="Arial" w:hAnsi="Arial"/>
          <w:b w:val="false"/>
          <w:sz w:val="20"/>
          <w:szCs w:val="20"/>
        </w:rPr>
        <w:t>2007;39(4):665-671.</w:t>
      </w:r>
    </w:p>
    <w:p>
      <w:pPr>
        <w:pStyle w:val="Heading1"/>
        <w:numPr>
          <w:ilvl w:val="0"/>
          <w:numId w:val="2"/>
        </w:numPr>
        <w:shd w:val="clear" w:color="auto" w:fill="FFFFFF"/>
        <w:spacing w:before="280" w:after="280"/>
        <w:ind w:left="714" w:hanging="357"/>
        <w:rPr>
          <w:rFonts w:ascii="Arial" w:hAnsi="Arial" w:cs="Arial"/>
          <w:b w:val="false"/>
          <w:b w:val="false"/>
          <w:color w:val="000000"/>
          <w:sz w:val="20"/>
          <w:szCs w:val="20"/>
        </w:rPr>
      </w:pPr>
      <w:r>
        <w:rPr>
          <w:rFonts w:cs="Arial" w:ascii="Arial" w:hAnsi="Arial"/>
          <w:b w:val="false"/>
          <w:sz w:val="20"/>
          <w:szCs w:val="20"/>
          <w:lang w:val="nb-NO"/>
        </w:rPr>
        <w:t xml:space="preserve">Wisløff U, Ellingsen Ø, Kemi OJ. </w:t>
      </w:r>
      <w:r>
        <w:rPr>
          <w:rFonts w:cs="Arial" w:ascii="Arial" w:hAnsi="Arial"/>
          <w:b w:val="false"/>
          <w:sz w:val="20"/>
          <w:szCs w:val="20"/>
        </w:rPr>
        <w:t xml:space="preserve">High-intensity interval training to maximize cardiac benefits of exercise training? </w:t>
      </w:r>
      <w:r>
        <w:rPr>
          <w:rFonts w:cs="Arial" w:ascii="Arial" w:hAnsi="Arial"/>
          <w:b w:val="false"/>
          <w:i/>
          <w:sz w:val="20"/>
          <w:szCs w:val="20"/>
        </w:rPr>
        <w:t>Exercise and sport science reviews</w:t>
      </w:r>
      <w:r>
        <w:rPr>
          <w:rFonts w:cs="Arial" w:ascii="Arial" w:hAnsi="Arial"/>
          <w:b w:val="false"/>
          <w:sz w:val="20"/>
          <w:szCs w:val="20"/>
        </w:rPr>
        <w:t xml:space="preserve">. </w:t>
      </w:r>
      <w:r>
        <w:rPr>
          <w:rFonts w:cs="Arial" w:ascii="Arial" w:hAnsi="Arial"/>
          <w:b w:val="false"/>
          <w:color w:val="000000" w:themeColor="text1"/>
          <w:sz w:val="20"/>
          <w:szCs w:val="20"/>
          <w:lang w:val="en-US"/>
        </w:rPr>
        <w:t>2009;37(3):139-146.</w:t>
      </w:r>
    </w:p>
    <w:p>
      <w:pPr>
        <w:sectPr>
          <w:footerReference w:type="default" r:id="rId5"/>
          <w:type w:val="nextPage"/>
          <w:pgSz w:w="12240" w:h="15840"/>
          <w:pgMar w:left="1417" w:right="1417" w:header="0" w:top="1417" w:footer="708" w:bottom="1417" w:gutter="0"/>
          <w:pgNumType w:fmt="decimal"/>
          <w:formProt w:val="false"/>
          <w:textDirection w:val="lrTb"/>
          <w:docGrid w:type="default" w:linePitch="360" w:charSpace="4096"/>
        </w:sectPr>
        <w:pStyle w:val="Heading1"/>
        <w:numPr>
          <w:ilvl w:val="0"/>
          <w:numId w:val="2"/>
        </w:numPr>
        <w:shd w:val="clear" w:color="auto" w:fill="FFFFFF"/>
        <w:spacing w:before="280" w:after="280"/>
        <w:ind w:left="714" w:hanging="357"/>
        <w:rPr>
          <w:rFonts w:ascii="Arial" w:hAnsi="Arial" w:cs="Arial"/>
          <w:b w:val="false"/>
          <w:b w:val="false"/>
          <w:color w:val="000000"/>
          <w:sz w:val="20"/>
          <w:szCs w:val="20"/>
        </w:rPr>
      </w:pPr>
      <w:r>
        <w:rPr>
          <w:rFonts w:cs="Arial" w:ascii="Arial" w:hAnsi="Arial"/>
          <w:b w:val="false"/>
          <w:color w:val="000000" w:themeColor="text1"/>
          <w:sz w:val="20"/>
          <w:szCs w:val="20"/>
          <w:lang w:val="en-US"/>
        </w:rPr>
        <w:t xml:space="preserve">Wisløff U, Coombes JS, Rognmo Ø. Cross talk proposal: High intensity interval training does have a role in risk reduction or treatment of disease. </w:t>
      </w:r>
      <w:r>
        <w:rPr>
          <w:rFonts w:cs="Arial" w:ascii="Arial" w:hAnsi="Arial"/>
          <w:b w:val="false"/>
          <w:i/>
          <w:color w:val="000000" w:themeColor="text1"/>
          <w:sz w:val="20"/>
          <w:szCs w:val="20"/>
          <w:lang w:val="en-US"/>
        </w:rPr>
        <w:t>The Journal of physiology</w:t>
      </w:r>
      <w:r>
        <w:rPr>
          <w:rFonts w:cs="Arial" w:ascii="Arial" w:hAnsi="Arial"/>
          <w:b w:val="false"/>
          <w:color w:val="000000" w:themeColor="text1"/>
          <w:sz w:val="20"/>
          <w:szCs w:val="20"/>
          <w:lang w:val="en-US"/>
        </w:rPr>
        <w:t>. 2015;593(24):5215-5217.</w:t>
      </w:r>
    </w:p>
    <w:p>
      <w:pPr>
        <w:pStyle w:val="Normal"/>
        <w:spacing w:lineRule="auto" w:line="240" w:before="0" w:after="0"/>
        <w:rPr>
          <w:rFonts w:ascii="Arial" w:hAnsi="Arial" w:cs="Arial"/>
          <w:b/>
          <w:b/>
          <w:sz w:val="24"/>
          <w:szCs w:val="24"/>
          <w:lang w:val="en-US"/>
        </w:rPr>
      </w:pPr>
      <w:r>
        <w:rPr>
          <w:rFonts w:cs="Arial" w:ascii="Arial" w:hAnsi="Arial"/>
          <w:b/>
          <w:sz w:val="24"/>
          <w:szCs w:val="24"/>
        </w:rPr>
        <w:t>s</w:t>
      </w:r>
      <w:r>
        <w:rPr>
          <w:rFonts w:cs="Arial" w:ascii="Arial" w:hAnsi="Arial"/>
          <w:b/>
          <w:sz w:val="24"/>
          <w:szCs w:val="24"/>
          <w:lang w:val="en-US"/>
        </w:rPr>
        <w:t xml:space="preserve">Table 1 </w:t>
      </w:r>
      <w:r>
        <w:rPr>
          <w:rFonts w:cs="Arial" w:ascii="Arial" w:hAnsi="Arial"/>
          <w:b/>
          <w:sz w:val="24"/>
          <w:szCs w:val="24"/>
        </w:rPr>
        <w:t>Comparison of participants included in the study analyses Vs. those who were excluded</w:t>
      </w:r>
    </w:p>
    <w:tbl>
      <w:tblPr>
        <w:tblStyle w:val="TableGrid"/>
        <w:tblW w:w="7371" w:type="dxa"/>
        <w:jc w:val="left"/>
        <w:tblInd w:w="0" w:type="dxa"/>
        <w:tblCellMar>
          <w:top w:w="0" w:type="dxa"/>
          <w:left w:w="108" w:type="dxa"/>
          <w:bottom w:w="0" w:type="dxa"/>
          <w:right w:w="108" w:type="dxa"/>
        </w:tblCellMar>
        <w:tblLook w:val="04a0" w:noHBand="0" w:noVBand="1" w:firstColumn="1" w:lastRow="0" w:lastColumn="0" w:firstRow="1"/>
      </w:tblPr>
      <w:tblGrid>
        <w:gridCol w:w="4253"/>
        <w:gridCol w:w="1559"/>
        <w:gridCol w:w="1559"/>
      </w:tblGrid>
      <w:tr>
        <w:trPr>
          <w:trHeight w:val="231" w:hRule="atLeast"/>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Included</w:t>
            </w:r>
          </w:p>
        </w:tc>
        <w:tc>
          <w:tcPr>
            <w:tcW w:w="1559"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Excluded*</w:t>
            </w:r>
          </w:p>
        </w:tc>
      </w:tr>
      <w:tr>
        <w:trPr>
          <w:trHeight w:val="230" w:hRule="atLeast"/>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n=39,298</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n=31,237</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Women, No. (%)</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20029 (51.0)</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15342 (49.1)</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Age, mean (SD), y</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42.6 (14.1)</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49.5 (15.9)</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All-cause death, No. (%)</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10062 (25.6)</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15001 (48.0)</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29236 (74.4)</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16236 (52.0)</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Cardiovascular death, No. (%)</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3867 (9.8)</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6906 (22.1)</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35431 (90.2)</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24331 (77.9)</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Body mass index, mean (SD), kg/m</w:t>
            </w:r>
            <w:r>
              <w:rPr>
                <w:rFonts w:cs="Arial" w:ascii="Arial" w:hAnsi="Arial"/>
                <w:b/>
                <w:sz w:val="20"/>
                <w:szCs w:val="20"/>
                <w:vertAlign w:val="superscript"/>
                <w:lang w:val="en-US"/>
              </w:rPr>
              <w:t>2</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&lt;18.5</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17.7 (0.6)</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17.6 (0.8)</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18.5-24.9</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22.4 (1.5)</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22.5 (1.6)</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25.0</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28.0 (3.0)</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28.7 (3.3)</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 No. (%)</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3217 (10.3)</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Hypertension status, No. (%)</w:t>
            </w:r>
            <w:r>
              <w:rPr>
                <w:rFonts w:cs="Arial" w:ascii="Arial" w:hAnsi="Arial"/>
                <w:b/>
                <w:sz w:val="20"/>
                <w:szCs w:val="20"/>
                <w:vertAlign w:val="superscript"/>
                <w:lang w:val="en-US"/>
              </w:rPr>
              <w:t>a</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r>
              <w:rPr>
                <w:rFonts w:cs="Arial" w:ascii="Arial" w:hAnsi="Arial"/>
                <w:sz w:val="20"/>
                <w:szCs w:val="20"/>
                <w:vertAlign w:val="superscript"/>
                <w:lang w:val="en-US"/>
              </w:rPr>
              <w:t xml:space="preserve"> </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15709 (40.0)</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15279 (48.9)</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23589 (60.0)</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12852 (41.1)</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3106 (9.9)</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Smoking status, No. (%)</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14367 (36.6)</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5578 (17.9)</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24931 (63.4)</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10467 (33.5)</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15192 (48.6)</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Alcohol consumption, No. (%)</w:t>
            </w:r>
            <w:r>
              <w:rPr>
                <w:rFonts w:cs="Arial" w:ascii="Arial" w:hAnsi="Arial"/>
                <w:b/>
                <w:sz w:val="20"/>
                <w:szCs w:val="20"/>
                <w:vertAlign w:val="superscript"/>
                <w:lang w:val="en-US"/>
              </w:rPr>
              <w:t>b</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Abstainer</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3001 (7.6)</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2652 (8.5)</w:t>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 xml:space="preserve">Zero </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16567 (42.2)</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8070 (25.8)</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 times</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17335 (44.1)</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4524 (14.5)</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5-10 times</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1241 (3.2)</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411 (1.3)</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&gt;10 times</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1154 (2.9)</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604 (1.9)</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14976 (47.9)</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Education</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&lt;10 y</w:t>
            </w:r>
          </w:p>
        </w:tc>
        <w:tc>
          <w:tcPr>
            <w:tcW w:w="1559"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20855 (53.1)</w:t>
            </w:r>
          </w:p>
        </w:tc>
        <w:tc>
          <w:tcPr>
            <w:tcW w:w="1559"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12483 (40.0)</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10-12 y</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13428 (34.2)</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2685 (8.6)</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13 y</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5015 (12.7)</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790 (2.5)</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15282 (48.9)</w:t>
            </w:r>
          </w:p>
        </w:tc>
      </w:tr>
      <w:tr>
        <w:trPr/>
        <w:tc>
          <w:tcPr>
            <w:tcW w:w="7371" w:type="dxa"/>
            <w:gridSpan w:val="3"/>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b/>
                <w:sz w:val="20"/>
                <w:szCs w:val="20"/>
                <w:lang w:val="en-US"/>
              </w:rPr>
              <w:t>Physical activity recommendations, No. (%)</w:t>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7520 (19.1)</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2418 (7.7)</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31778 (80.9))</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12563 (40.2)</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16256 (52.1)</w:t>
            </w:r>
          </w:p>
        </w:tc>
      </w:tr>
    </w:tbl>
    <w:p>
      <w:pPr>
        <w:pStyle w:val="Normal"/>
        <w:spacing w:lineRule="auto" w:line="240" w:before="0" w:after="0"/>
        <w:rPr>
          <w:rFonts w:ascii="Arial" w:hAnsi="Arial" w:cs="Arial"/>
          <w:sz w:val="16"/>
          <w:szCs w:val="16"/>
          <w:lang w:val="en-US"/>
        </w:rPr>
      </w:pPr>
      <w:r>
        <w:rPr>
          <w:rFonts w:cs="Arial" w:ascii="Arial" w:hAnsi="Arial"/>
          <w:sz w:val="16"/>
          <w:szCs w:val="16"/>
          <w:lang w:val="en-US"/>
        </w:rPr>
        <w:t>*Sequential exclusion was due to history of myocardial infarction or angina pectoris or prevalent diabetes mellitus or stroke or motion impairment or somatic disease or no report on physical activity or missing values on various covariates (see the Methods section for details)</w:t>
      </w:r>
    </w:p>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a</w:t>
      </w:r>
      <w:r>
        <w:rPr>
          <w:rFonts w:cs="Arial" w:ascii="Arial" w:hAnsi="Arial"/>
          <w:sz w:val="16"/>
          <w:szCs w:val="16"/>
          <w:lang w:val="en-US"/>
        </w:rPr>
        <w:t>Defined as systolic blood pressure ≥140 mm Hg and/or diastolic blood pressure ≥90 mm Hg and/or taking blood pressure medications in HUNT-1 study.</w:t>
      </w:r>
    </w:p>
    <w:p>
      <w:pPr>
        <w:sectPr>
          <w:footerReference w:type="default" r:id="rId6"/>
          <w:type w:val="nextPage"/>
          <w:pgSz w:w="12240" w:h="15840"/>
          <w:pgMar w:left="1417" w:right="1417" w:header="0" w:top="1417" w:footer="708" w:bottom="1417" w:gutter="0"/>
          <w:pgNumType w:fmt="decimal"/>
          <w:formProt w:val="false"/>
          <w:textDirection w:val="lrTb"/>
          <w:docGrid w:type="default" w:linePitch="360" w:charSpace="4096"/>
        </w:sect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b</w:t>
      </w:r>
      <w:r>
        <w:rPr>
          <w:rFonts w:cs="Arial" w:ascii="Arial" w:hAnsi="Arial"/>
          <w:sz w:val="16"/>
          <w:szCs w:val="16"/>
          <w:lang w:val="en-US"/>
        </w:rPr>
        <w:t>Based on consumption over a 2-week period.</w:t>
      </w:r>
    </w:p>
    <w:p>
      <w:pPr>
        <w:pStyle w:val="Normal"/>
        <w:spacing w:lineRule="auto" w:line="240" w:before="0" w:after="0"/>
        <w:rPr>
          <w:rFonts w:ascii="Arial" w:hAnsi="Arial" w:cs="Arial"/>
          <w:b/>
          <w:b/>
          <w:sz w:val="24"/>
          <w:szCs w:val="20"/>
          <w:lang w:val="en-US"/>
        </w:rPr>
      </w:pPr>
      <w:r>
        <w:rPr>
          <w:rFonts w:cs="Arial" w:ascii="Arial" w:hAnsi="Arial"/>
          <w:b/>
          <w:sz w:val="24"/>
          <w:szCs w:val="20"/>
          <w:lang w:val="en-US"/>
        </w:rPr>
        <w:t>sTable 2 Descriptive characteristics of derivation cohort (HUNT Fitness study) and validation cohort (HUNT-1 study)</w:t>
      </w:r>
    </w:p>
    <w:tbl>
      <w:tblPr>
        <w:tblStyle w:val="TableGrid"/>
        <w:tblW w:w="9747" w:type="dxa"/>
        <w:jc w:val="left"/>
        <w:tblInd w:w="0" w:type="dxa"/>
        <w:tblCellMar>
          <w:top w:w="0" w:type="dxa"/>
          <w:left w:w="108" w:type="dxa"/>
          <w:bottom w:w="0" w:type="dxa"/>
          <w:right w:w="108" w:type="dxa"/>
        </w:tblCellMar>
        <w:tblLook w:val="04a0" w:noHBand="0" w:noVBand="1" w:firstColumn="1" w:lastRow="0" w:lastColumn="0" w:firstRow="1"/>
      </w:tblPr>
      <w:tblGrid>
        <w:gridCol w:w="3828"/>
        <w:gridCol w:w="1416"/>
        <w:gridCol w:w="1384"/>
        <w:gridCol w:w="284"/>
        <w:gridCol w:w="1417"/>
        <w:gridCol w:w="1417"/>
      </w:tblGrid>
      <w:tr>
        <w:trPr>
          <w:trHeight w:val="231" w:hRule="atLeast"/>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00" w:type="dxa"/>
            <w:gridSpan w:val="2"/>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HUNT Fitness Study</w:t>
            </w:r>
          </w:p>
        </w:tc>
        <w:tc>
          <w:tcPr>
            <w:tcW w:w="284" w:type="dxa"/>
            <w:vMerge w:val="restart"/>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r>
          </w:p>
        </w:tc>
        <w:tc>
          <w:tcPr>
            <w:tcW w:w="2834" w:type="dxa"/>
            <w:gridSpan w:val="2"/>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HUNT-1 Study</w:t>
            </w:r>
          </w:p>
        </w:tc>
      </w:tr>
      <w:tr>
        <w:trPr>
          <w:trHeight w:val="231" w:hRule="atLeast"/>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6"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Men</w:t>
            </w:r>
          </w:p>
        </w:tc>
        <w:tc>
          <w:tcPr>
            <w:tcW w:w="1384"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Women</w:t>
            </w:r>
          </w:p>
        </w:tc>
        <w:tc>
          <w:tcPr>
            <w:tcW w:w="284" w:type="dxa"/>
            <w:vMerge w:val="continue"/>
            <w:tcBorders>
              <w:top w:val="nil"/>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r>
          </w:p>
        </w:tc>
        <w:tc>
          <w:tcPr>
            <w:tcW w:w="1417"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Men</w:t>
            </w:r>
          </w:p>
        </w:tc>
        <w:tc>
          <w:tcPr>
            <w:tcW w:w="1417"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Women</w:t>
            </w:r>
          </w:p>
        </w:tc>
      </w:tr>
      <w:tr>
        <w:trPr>
          <w:trHeight w:val="230" w:hRule="atLeast"/>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(n=2263)</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(2368)</w:t>
            </w:r>
          </w:p>
        </w:tc>
        <w:tc>
          <w:tcPr>
            <w:tcW w:w="2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(19269)</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(20,029)</w:t>
            </w:r>
          </w:p>
        </w:tc>
      </w:tr>
      <w:tr>
        <w:trPr/>
        <w:tc>
          <w:tcPr>
            <w:tcW w:w="3828"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Age, mean (SD), y</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48.9 (13.5)</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48.0 (13.7)</w:t>
            </w:r>
          </w:p>
        </w:tc>
        <w:tc>
          <w:tcPr>
            <w:tcW w:w="2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42.5 (14.0)</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42.7 (14.2)</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Body mass index, mean (SD), kg/m</w:t>
            </w:r>
            <w:r>
              <w:rPr>
                <w:rFonts w:cs="Arial" w:ascii="Arial" w:hAnsi="Arial"/>
                <w:b/>
                <w:sz w:val="20"/>
                <w:szCs w:val="20"/>
                <w:vertAlign w:val="superscript"/>
                <w:lang w:val="en-US"/>
              </w:rPr>
              <w:t>2</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&lt;18.5</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17.9 (0.4)</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17.9 (0.4)</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17.7 (0.6)</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17.7 (0.6)</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18.5-24.9</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23.2 (1.4)</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22.6 (1.5)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22.9 (1.4)</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22.1 (1.6)</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25.0</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28.1 (2.5)</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28.6 (3.0)</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27.6 (2.4)</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28.6 (3.5)</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Hypertension status, No. (%)</w:t>
            </w:r>
            <w:r>
              <w:rPr>
                <w:rFonts w:cs="Arial" w:ascii="Arial" w:hAnsi="Arial"/>
                <w:b/>
                <w:sz w:val="20"/>
                <w:szCs w:val="20"/>
                <w:vertAlign w:val="superscript"/>
                <w:lang w:val="en-US"/>
              </w:rPr>
              <w:t>a</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r>
              <w:rPr>
                <w:rFonts w:cs="Arial" w:ascii="Arial" w:hAnsi="Arial"/>
                <w:sz w:val="20"/>
                <w:szCs w:val="20"/>
                <w:vertAlign w:val="superscript"/>
                <w:lang w:val="en-US"/>
              </w:rPr>
              <w:t xml:space="preserve"> </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558 (24.6)</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323 (13.5)</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9011 (46.8)</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6698 (33.4)</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1472 (64.8)</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1808 (75.8)</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10258 (53.2)</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13,331 (66.6)</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Smoking status, No. (%)</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398 (17.5)</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457 (19.1)</w:t>
            </w:r>
          </w:p>
        </w:tc>
        <w:tc>
          <w:tcPr>
            <w:tcW w:w="2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7169 (37.2)</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7198 (35.9)</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1829 (81.0)</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1893 (79.3)</w:t>
            </w:r>
          </w:p>
        </w:tc>
        <w:tc>
          <w:tcPr>
            <w:tcW w:w="2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12,100 (62.8)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12,831 (64.1)</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Alcohol consumption, No. (%)</w:t>
            </w:r>
            <w:r>
              <w:rPr>
                <w:rFonts w:cs="Arial" w:ascii="Arial" w:hAnsi="Arial"/>
                <w:b/>
                <w:sz w:val="20"/>
                <w:szCs w:val="20"/>
                <w:vertAlign w:val="superscript"/>
                <w:lang w:val="en-US"/>
              </w:rPr>
              <w:t>b</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Abstainer</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43 (1.9)</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72 (3.0)</w:t>
            </w:r>
          </w:p>
        </w:tc>
        <w:tc>
          <w:tcPr>
            <w:tcW w:w="284"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932 (4.8)</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2069 (10.3)</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Zero</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207 (9.1)</w:t>
            </w:r>
          </w:p>
        </w:tc>
        <w:tc>
          <w:tcPr>
            <w:tcW w:w="1668" w:type="dxa"/>
            <w:gridSpan w:val="2"/>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385 (16.1)</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6230 (32.3)</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10,337 (51.6)</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 times</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756 (33.3)</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1134 (47.5)</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10,407 (54.0)</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6928 (34.6)</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5-10 times</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757 (33.3)</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561 (23.5)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916 (4.8)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325 (1.6)</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&gt;10 times</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441 (19.4)</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139 (5.8)</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784 (4.1)</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370 (1.9)</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Physical activity habits, No. (%)</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Frequency</w:t>
            </w:r>
          </w:p>
        </w:tc>
        <w:tc>
          <w:tcPr>
            <w:tcW w:w="1416"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Inactive/&lt;Once a week</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420  (18.5)</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236 (9.8)</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8222 (42.7)</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7766 (38.8)</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Once a week</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492 (21.7)</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442 (18.5)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4787 (24.8)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6656 (27.8)</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 times a week</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991 (43.6)</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1209 (50.7)</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4385 (22.8)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4613 (23.0)</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Almost everyday</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355 (15.6)</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490 (21.0)</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1875 (9.7)</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2085 (10.4)</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Duration per session</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&lt;30 minutes</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314 (13.8)</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289 (12.1)</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3047 (15.8)</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5147 (25.7)</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30 minutes</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1707 (75.2)</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1965 (82.4)</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8000 (41.5)</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7116 (35.5)</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Intensity</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Take it easy</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496 (21.8)</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677 (28.4)</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3657 (33.1)</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6945 (56.6)</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Heavy breath/sweat</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1276 (56.2)</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1443 (60.5)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6536 (59.2)</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5090 (41.5)</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Near exhaustion</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210 (9.2)</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102 (4.3)</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854 (7.7)</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228 (1.9)</w:t>
            </w:r>
          </w:p>
        </w:tc>
      </w:tr>
      <w:tr>
        <w:trPr/>
        <w:tc>
          <w:tcPr>
            <w:tcW w:w="3828"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Cardiorespiratory fitness, mean (SD)</w:t>
            </w:r>
            <w:r>
              <w:rPr>
                <w:rFonts w:cs="Arial" w:ascii="Arial" w:hAnsi="Arial"/>
                <w:b/>
                <w:sz w:val="20"/>
                <w:szCs w:val="20"/>
                <w:vertAlign w:val="superscript"/>
                <w:lang w:val="en-US"/>
              </w:rPr>
              <w:t>c</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44.3 (9.2)</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35.9 (7.8)</w:t>
            </w:r>
          </w:p>
        </w:tc>
        <w:tc>
          <w:tcPr>
            <w:tcW w:w="2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r>
    </w:tbl>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a</w:t>
      </w:r>
      <w:r>
        <w:rPr>
          <w:rFonts w:cs="Arial" w:ascii="Arial" w:hAnsi="Arial"/>
          <w:sz w:val="16"/>
          <w:szCs w:val="16"/>
          <w:lang w:val="en-US"/>
        </w:rPr>
        <w:t>Defined as systolic blood pressure ≥140 mm Hg and/or diastolic blood pressure ≥90 mm Hg in HUNT Fitness Study, and systolic blood pressure ≥140 mm Hg and/or diastolic blood pressure ≥90 mm Hg and/or taking blood pressure medications in HUNT-1 study.</w:t>
      </w:r>
    </w:p>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b</w:t>
      </w:r>
      <w:r>
        <w:rPr>
          <w:rFonts w:cs="Arial" w:ascii="Arial" w:hAnsi="Arial"/>
          <w:sz w:val="16"/>
          <w:szCs w:val="16"/>
          <w:lang w:val="en-US"/>
        </w:rPr>
        <w:t>Based on consumption over a 2-week period.</w:t>
      </w:r>
    </w:p>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c</w:t>
      </w:r>
      <w:r>
        <w:rPr>
          <w:rFonts w:cs="Arial" w:ascii="Arial" w:hAnsi="Arial"/>
          <w:sz w:val="16"/>
          <w:szCs w:val="16"/>
          <w:lang w:val="en-US"/>
        </w:rPr>
        <w:t>Cardiorespiratory fitness was objectively measured by ergospirometry test running on a treadmill, and expressed as mL.kg</w:t>
      </w:r>
      <w:r>
        <w:rPr>
          <w:rFonts w:cs="Arial" w:ascii="Arial" w:hAnsi="Arial"/>
          <w:sz w:val="16"/>
          <w:szCs w:val="16"/>
          <w:vertAlign w:val="superscript"/>
          <w:lang w:val="en-US"/>
        </w:rPr>
        <w:t>-1</w:t>
      </w:r>
      <w:r>
        <w:rPr>
          <w:rFonts w:cs="Arial" w:ascii="Arial" w:hAnsi="Arial"/>
          <w:sz w:val="16"/>
          <w:szCs w:val="16"/>
          <w:lang w:val="en-US"/>
        </w:rPr>
        <w:t>.min</w:t>
      </w:r>
      <w:r>
        <w:rPr>
          <w:rFonts w:cs="Arial" w:ascii="Arial" w:hAnsi="Arial"/>
          <w:sz w:val="16"/>
          <w:szCs w:val="16"/>
          <w:vertAlign w:val="superscript"/>
          <w:lang w:val="en-US"/>
        </w:rPr>
        <w:t>-1</w:t>
      </w:r>
      <w:r>
        <w:rPr>
          <w:rFonts w:cs="Arial" w:ascii="Arial" w:hAnsi="Arial"/>
          <w:sz w:val="16"/>
          <w:szCs w:val="16"/>
          <w:lang w:val="en-US"/>
        </w:rPr>
        <w:t>.</w:t>
      </w:r>
    </w:p>
    <w:p>
      <w:pPr>
        <w:sectPr>
          <w:footerReference w:type="default" r:id="rId7"/>
          <w:type w:val="nextPage"/>
          <w:pgSz w:w="12240" w:h="15840"/>
          <w:pgMar w:left="1417" w:right="1417" w:header="0" w:top="1417" w:footer="708" w:bottom="1417" w:gutter="0"/>
          <w:pgNumType w:fmt="decimal"/>
          <w:formProt w:val="false"/>
          <w:textDirection w:val="lrTb"/>
          <w:docGrid w:type="default" w:linePitch="360" w:charSpace="4096"/>
        </w:sectPr>
        <w:pStyle w:val="Normal"/>
        <w:spacing w:lineRule="auto" w:line="240" w:before="0" w:after="0"/>
        <w:rPr>
          <w:rFonts w:ascii="Arial" w:hAnsi="Arial" w:cs="Arial"/>
          <w:b/>
          <w:b/>
          <w:sz w:val="24"/>
          <w:szCs w:val="20"/>
          <w:lang w:val="en-US"/>
        </w:rPr>
      </w:pPr>
      <w:r>
        <w:rPr>
          <w:rFonts w:cs="Arial" w:ascii="Arial" w:hAnsi="Arial"/>
          <w:b/>
          <w:sz w:val="24"/>
          <w:szCs w:val="20"/>
          <w:lang w:val="en-US"/>
        </w:rPr>
      </w:r>
    </w:p>
    <w:p>
      <w:pPr>
        <w:pStyle w:val="Normal"/>
        <w:spacing w:before="0" w:after="0"/>
        <w:rPr>
          <w:rFonts w:ascii="Arial" w:hAnsi="Arial" w:cs="Arial"/>
          <w:b/>
          <w:b/>
          <w:sz w:val="24"/>
          <w:szCs w:val="20"/>
        </w:rPr>
      </w:pPr>
      <w:r>
        <w:rPr>
          <w:rFonts w:cs="Arial" w:ascii="Arial" w:hAnsi="Arial"/>
          <w:b/>
          <w:sz w:val="24"/>
          <w:szCs w:val="20"/>
        </w:rPr>
        <w:t>sTable 3 Hazard ratio of mortality by PAI, stratified by diabetes and hypertension status</w:t>
      </w:r>
    </w:p>
    <w:tbl>
      <w:tblPr>
        <w:tblStyle w:val="TableGrid"/>
        <w:tblW w:w="13827" w:type="dxa"/>
        <w:jc w:val="left"/>
        <w:tblInd w:w="0" w:type="dxa"/>
        <w:tblCellMar>
          <w:top w:w="0" w:type="dxa"/>
          <w:left w:w="108" w:type="dxa"/>
          <w:bottom w:w="0" w:type="dxa"/>
          <w:right w:w="108" w:type="dxa"/>
        </w:tblCellMar>
        <w:tblLook w:val="04a0" w:noHBand="0" w:noVBand="1" w:firstColumn="1" w:lastRow="0" w:lastColumn="0" w:firstRow="1"/>
      </w:tblPr>
      <w:tblGrid>
        <w:gridCol w:w="1493"/>
        <w:gridCol w:w="907"/>
        <w:gridCol w:w="1362"/>
        <w:gridCol w:w="1276"/>
        <w:gridCol w:w="1275"/>
        <w:gridCol w:w="1276"/>
        <w:gridCol w:w="237"/>
        <w:gridCol w:w="905"/>
        <w:gridCol w:w="1268"/>
        <w:gridCol w:w="1276"/>
        <w:gridCol w:w="1275"/>
        <w:gridCol w:w="1276"/>
      </w:tblGrid>
      <w:tr>
        <w:trPr/>
        <w:tc>
          <w:tcPr>
            <w:tcW w:w="14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6096" w:type="dxa"/>
            <w:gridSpan w:val="5"/>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All-cause</w:t>
            </w:r>
          </w:p>
        </w:tc>
        <w:tc>
          <w:tcPr>
            <w:tcW w:w="237"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6000" w:type="dxa"/>
            <w:gridSpan w:val="5"/>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CVD</w:t>
            </w:r>
          </w:p>
        </w:tc>
      </w:tr>
      <w:tr>
        <w:trPr/>
        <w:tc>
          <w:tcPr>
            <w:tcW w:w="149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vMerge w:val="restart"/>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P-value for interaction</w:t>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vMerge w:val="restart"/>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P-value for interaction</w:t>
            </w:r>
          </w:p>
        </w:tc>
      </w:tr>
      <w:tr>
        <w:trPr/>
        <w:tc>
          <w:tcPr>
            <w:tcW w:w="1493" w:type="dxa"/>
            <w:tcBorders>
              <w:top w:val="nil"/>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PAI</w:t>
            </w:r>
          </w:p>
        </w:tc>
        <w:tc>
          <w:tcPr>
            <w:tcW w:w="907"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362"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276" w:type="dxa"/>
            <w:vMerge w:val="continue"/>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268"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276" w:type="dxa"/>
            <w:vMerge w:val="continue"/>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Diabetes</w:t>
            </w:r>
          </w:p>
        </w:tc>
        <w:tc>
          <w:tcPr>
            <w:tcW w:w="907"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No</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4035</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3810</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870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1347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1531</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1537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333</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466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0.91</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(0.85-0.93)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(0.74-0.86)</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(0.69-0.78)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(0.85-0.98)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(0.71-0.90)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(0.61-0.75)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Yes</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104</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120</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22</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54</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0.88</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0.52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0.88</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0.46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 </w:t>
            </w:r>
            <w:r>
              <w:rPr>
                <w:rFonts w:cs="Arial" w:ascii="Arial" w:hAnsi="Arial"/>
                <w:sz w:val="20"/>
                <w:szCs w:val="20"/>
              </w:rPr>
              <w:t>(0.68-1.17)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(0.55-1.39)</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(0.35-0.79)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(0.75-1.54)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(0.46-1.68)</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(0.25-0.83)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dashSmallGap" w:sz="8" w:space="0" w:color="000000"/>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907"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0.14</w:t>
            </w:r>
          </w:p>
        </w:tc>
        <w:tc>
          <w:tcPr>
            <w:tcW w:w="237"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0.19</w:t>
            </w:r>
          </w:p>
        </w:tc>
      </w:tr>
      <w:tr>
        <w:trPr/>
        <w:tc>
          <w:tcPr>
            <w:tcW w:w="1493"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Hypertension</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No</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1392</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1125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276</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515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371</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77</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(0.83-0.97)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(0.65-0.84)</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(0.67-0.82)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(0.83-1.12)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(0.62-1.02)</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(0.54-0.81)</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Yes</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2643</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2685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594</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832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1160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1204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256</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342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0.81</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0.70</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(0.84-0.93)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(0.76-0.91)</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(0.69-0.81)</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(0.82-0.96)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(0.71-0.93)</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(0.62-0.79)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3" w:type="dxa"/>
            <w:tcBorders>
              <w:top w:val="nil"/>
              <w:left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907"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0.40</w:t>
            </w:r>
          </w:p>
        </w:tc>
        <w:tc>
          <w:tcPr>
            <w:tcW w:w="237"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0.69</w:t>
            </w:r>
          </w:p>
        </w:tc>
      </w:tr>
    </w:tbl>
    <w:p>
      <w:pPr>
        <w:pStyle w:val="Normal"/>
        <w:spacing w:lineRule="auto" w:line="240" w:before="0" w:after="0"/>
        <w:rPr>
          <w:rFonts w:ascii="Arial" w:hAnsi="Arial" w:cs="Arial"/>
          <w:sz w:val="16"/>
          <w:szCs w:val="20"/>
        </w:rPr>
      </w:pPr>
      <w:r>
        <w:rPr>
          <w:rFonts w:cs="Arial" w:ascii="Arial" w:hAnsi="Arial"/>
          <w:sz w:val="16"/>
          <w:szCs w:val="20"/>
        </w:rPr>
        <w:t>Abbreviations: PAI, personalized activity intelligence; CVD, cardiovascular disease; HR, hazard ratio; CI, confidence interval.</w:t>
      </w:r>
    </w:p>
    <w:p>
      <w:pPr>
        <w:sectPr>
          <w:footerReference w:type="default" r:id="rId8"/>
          <w:type w:val="nextPage"/>
          <w:pgSz w:orient="landscape" w:w="16838" w:h="11906"/>
          <w:pgMar w:left="1417" w:right="1417" w:header="0" w:top="1417" w:footer="708" w:bottom="1417" w:gutter="0"/>
          <w:pgNumType w:fmt="decimal"/>
          <w:formProt w:val="false"/>
          <w:textDirection w:val="lrTb"/>
          <w:docGrid w:type="default" w:linePitch="360" w:charSpace="4096"/>
        </w:sectPr>
        <w:pStyle w:val="Normal"/>
        <w:spacing w:lineRule="auto" w:line="240"/>
        <w:rPr>
          <w:rFonts w:ascii="Arial" w:hAnsi="Arial" w:cs="Arial"/>
          <w:sz w:val="16"/>
          <w:szCs w:val="20"/>
        </w:rPr>
      </w:pPr>
      <w:r>
        <w:rPr>
          <w:rFonts w:cs="Arial" w:ascii="Arial" w:hAnsi="Arial"/>
          <w:sz w:val="16"/>
          <w:szCs w:val="16"/>
          <w:vertAlign w:val="superscript"/>
        </w:rPr>
        <w:t>a</w:t>
      </w:r>
      <w:r>
        <w:rPr>
          <w:rFonts w:cs="Arial" w:ascii="Arial" w:hAnsi="Arial"/>
          <w:sz w:val="16"/>
          <w:szCs w:val="16"/>
        </w:rPr>
        <w:t>Adjusted for age</w:t>
      </w:r>
      <w:r>
        <w:rPr>
          <w:rFonts w:cs="Arial" w:ascii="Arial" w:hAnsi="Arial"/>
          <w:sz w:val="16"/>
          <w:szCs w:val="20"/>
        </w:rPr>
        <w:t xml:space="preserve"> by including the attained age as the time scale, and sex. </w:t>
      </w:r>
    </w:p>
    <w:p>
      <w:pPr>
        <w:pStyle w:val="Normal"/>
        <w:spacing w:before="0" w:after="0"/>
        <w:rPr>
          <w:rFonts w:ascii="Arial" w:hAnsi="Arial" w:cs="Arial"/>
          <w:b/>
          <w:b/>
          <w:sz w:val="24"/>
          <w:szCs w:val="20"/>
        </w:rPr>
      </w:pPr>
      <w:r>
        <w:rPr>
          <w:rFonts w:cs="Arial" w:ascii="Arial" w:hAnsi="Arial"/>
          <w:b/>
          <w:sz w:val="24"/>
          <w:szCs w:val="20"/>
        </w:rPr>
        <w:t>sTable 4 Hazard ratios* (95% CI) for all-cause and cardiovascular mortality</w:t>
      </w:r>
    </w:p>
    <w:tbl>
      <w:tblPr>
        <w:tblStyle w:val="TableGrid"/>
        <w:tblW w:w="8909" w:type="dxa"/>
        <w:jc w:val="left"/>
        <w:tblInd w:w="0" w:type="dxa"/>
        <w:tblCellMar>
          <w:top w:w="0" w:type="dxa"/>
          <w:left w:w="108" w:type="dxa"/>
          <w:bottom w:w="0" w:type="dxa"/>
          <w:right w:w="108" w:type="dxa"/>
        </w:tblCellMar>
        <w:tblLook w:val="04a0" w:noHBand="0" w:noVBand="1" w:firstColumn="1" w:lastRow="0" w:lastColumn="0" w:firstRow="1"/>
      </w:tblPr>
      <w:tblGrid>
        <w:gridCol w:w="1812"/>
        <w:gridCol w:w="1444"/>
        <w:gridCol w:w="991"/>
        <w:gridCol w:w="2128"/>
        <w:gridCol w:w="1134"/>
        <w:gridCol w:w="1399"/>
      </w:tblGrid>
      <w:tr>
        <w:trPr/>
        <w:tc>
          <w:tcPr>
            <w:tcW w:w="3256" w:type="dxa"/>
            <w:gridSpan w:val="2"/>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All-cause mortality</w:t>
            </w:r>
          </w:p>
        </w:tc>
        <w:tc>
          <w:tcPr>
            <w:tcW w:w="991"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128"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3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1"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Deaths</w:t>
            </w:r>
          </w:p>
        </w:tc>
        <w:tc>
          <w:tcPr>
            <w:tcW w:w="2128"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HR (95% CI)</w:t>
            </w:r>
          </w:p>
        </w:tc>
        <w:tc>
          <w:tcPr>
            <w:tcW w:w="113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Chi</w:t>
            </w:r>
            <w:r>
              <w:rPr>
                <w:rFonts w:cs="Arial" w:ascii="Arial" w:hAnsi="Arial"/>
                <w:sz w:val="20"/>
                <w:szCs w:val="20"/>
                <w:vertAlign w:val="superscript"/>
              </w:rPr>
              <w:t>2</w:t>
            </w:r>
          </w:p>
        </w:tc>
        <w:tc>
          <w:tcPr>
            <w:tcW w:w="1399" w:type="dxa"/>
            <w:tcBorders>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&gt;chi</w:t>
            </w:r>
            <w:r>
              <w:rPr>
                <w:rFonts w:cs="Arial" w:ascii="Arial" w:hAnsi="Arial"/>
                <w:sz w:val="20"/>
                <w:szCs w:val="20"/>
                <w:vertAlign w:val="superscript"/>
              </w:rPr>
              <w:t>2</w:t>
            </w:r>
          </w:p>
        </w:tc>
      </w:tr>
      <w:tr>
        <w:trPr/>
        <w:tc>
          <w:tcPr>
            <w:tcW w:w="1812"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PAI</w:t>
            </w:r>
          </w:p>
        </w:tc>
        <w:tc>
          <w:tcPr>
            <w:tcW w:w="1444"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&lt;100</w:t>
            </w:r>
          </w:p>
        </w:tc>
        <w:tc>
          <w:tcPr>
            <w:tcW w:w="991"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8715</w:t>
            </w:r>
          </w:p>
        </w:tc>
        <w:tc>
          <w:tcPr>
            <w:tcW w:w="212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1347</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0.90 (0.84-0.97)</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7.47</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Physical activity</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Below</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8317</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Following</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1745</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0.97 (0.91-1.04)</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0.79</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0.37</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Smoking</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6123</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3939</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1.91 (1.83-1.99)</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862.05</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Hypertension</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3308</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6754</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1.37 (1.31-1.43)</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190.87</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Body mass index</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&lt;18.5</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81</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1.65 (1.33-2.06)</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18.5-24.9</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4218</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25.0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5763</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1.10 (1.05-1.14)</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35.32</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Alcohol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Abstainer</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1242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Zero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4982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 (0.84-0.95)</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3074</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 (0.79-0.91)</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331</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0.99 (0.87-1.12)</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&gt;10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433</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1.02 (0.91-1.14)</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33.78</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Education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7682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10-12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1751</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0.91 (0.86-0.96)</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13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629</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0.81 (0.74-0.88)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31.78</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Sex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Women</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4535</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Men</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5527</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1.61 (1.55-1.68)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496.08</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b/>
                <w:b/>
                <w:sz w:val="20"/>
                <w:szCs w:val="20"/>
              </w:rPr>
            </w:pPr>
            <w:r>
              <w:rPr>
                <w:rFonts w:cs="Arial" w:ascii="Arial" w:hAnsi="Arial"/>
                <w:b/>
                <w:sz w:val="20"/>
                <w:szCs w:val="20"/>
              </w:rPr>
              <w:t>CVD mortality</w:t>
            </w:r>
          </w:p>
        </w:tc>
        <w:tc>
          <w:tcPr>
            <w:tcW w:w="1444"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1"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128"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34"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PAI</w:t>
            </w:r>
          </w:p>
        </w:tc>
        <w:tc>
          <w:tcPr>
            <w:tcW w:w="1444"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&lt;100</w:t>
            </w:r>
          </w:p>
        </w:tc>
        <w:tc>
          <w:tcPr>
            <w:tcW w:w="991"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3401</w:t>
            </w:r>
          </w:p>
        </w:tc>
        <w:tc>
          <w:tcPr>
            <w:tcW w:w="2128"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466</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0.82 (0.73-0.92)</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11.23</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Physical activity</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Below</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3198</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Following</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669</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 (0.90-1.10)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0.01</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0.98</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Smoking</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2425</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1442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1.99 (1.85-2.13)</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367.15</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Hypertension</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905</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2962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1.96 (1.81-2.12)</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286.30</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Body mass index</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&lt;18.5</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1.45 (0.95-2.21)</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18.5-24.9</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1441</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25.0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2404</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1.20 (1.12-1.29)</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29.91</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Alcohol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Abstainer</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545</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Zero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2016</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 (0.75-0.91)</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1022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0.68 (0.61-0.77)</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99</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0.70 (0.56-0.87)</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&gt;10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185</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0.98 (0.83-1.16)</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56.28</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Education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3065</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10-12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582</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 (0.81-0.98)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13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220</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 (0.74-0.98)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9.57</w:t>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Sex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Women</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1660</w:t>
            </w:r>
          </w:p>
        </w:tc>
        <w:tc>
          <w:tcPr>
            <w:tcW w:w="212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Men</w:t>
            </w:r>
          </w:p>
        </w:tc>
        <w:tc>
          <w:tcPr>
            <w:tcW w:w="991"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2207</w:t>
            </w:r>
          </w:p>
        </w:tc>
        <w:tc>
          <w:tcPr>
            <w:tcW w:w="2128"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1.87 (1.75-2.01)</w:t>
            </w:r>
          </w:p>
        </w:tc>
        <w:tc>
          <w:tcPr>
            <w:tcW w:w="1134"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323.13</w:t>
            </w:r>
          </w:p>
        </w:tc>
        <w:tc>
          <w:tcPr>
            <w:tcW w:w="1399"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bl>
    <w:p>
      <w:pPr>
        <w:sectPr>
          <w:footerReference w:type="default" r:id="rId9"/>
          <w:type w:val="nextPage"/>
          <w:pgSz w:w="11906" w:h="16838"/>
          <w:pgMar w:left="1417" w:right="1417" w:header="0" w:top="1417" w:footer="708" w:bottom="1417" w:gutter="0"/>
          <w:pgNumType w:fmt="decimal"/>
          <w:formProt w:val="false"/>
          <w:textDirection w:val="lrTb"/>
          <w:docGrid w:type="default" w:linePitch="360" w:charSpace="4096"/>
        </w:sectPr>
        <w:pStyle w:val="Normal"/>
        <w:rPr>
          <w:rFonts w:ascii="Arial" w:hAnsi="Arial" w:cs="Arial"/>
          <w:sz w:val="16"/>
          <w:szCs w:val="16"/>
        </w:rPr>
      </w:pPr>
      <w:r>
        <w:rPr>
          <w:rFonts w:cs="Arial" w:ascii="Arial" w:hAnsi="Arial"/>
          <w:sz w:val="16"/>
          <w:szCs w:val="16"/>
        </w:rPr>
        <w:t>*Adjusted for age by including attained age as timescale and other covariates.</w:t>
      </w:r>
    </w:p>
    <w:p>
      <w:pPr>
        <w:pStyle w:val="Normal"/>
        <w:spacing w:before="0" w:after="0"/>
        <w:rPr>
          <w:rFonts w:ascii="Arial" w:hAnsi="Arial" w:cs="Arial"/>
          <w:b/>
          <w:b/>
          <w:sz w:val="24"/>
          <w:szCs w:val="20"/>
        </w:rPr>
      </w:pPr>
      <w:r>
        <w:rPr>
          <w:rFonts w:cs="Arial" w:ascii="Arial" w:hAnsi="Arial"/>
          <w:b/>
          <w:sz w:val="24"/>
          <w:szCs w:val="20"/>
        </w:rPr>
        <w:t>sTable 5 Hazard ratios for all-cause and cardiovascular mortality after excluding 3 years of follow-up</w:t>
      </w:r>
    </w:p>
    <w:tbl>
      <w:tblPr>
        <w:tblStyle w:val="TableGrid"/>
        <w:tblW w:w="11199" w:type="dxa"/>
        <w:jc w:val="left"/>
        <w:tblInd w:w="0" w:type="dxa"/>
        <w:tblCellMar>
          <w:top w:w="0" w:type="dxa"/>
          <w:left w:w="108" w:type="dxa"/>
          <w:bottom w:w="0" w:type="dxa"/>
          <w:right w:w="108" w:type="dxa"/>
        </w:tblCellMar>
        <w:tblLook w:val="04a0" w:noHBand="0" w:noVBand="1" w:firstColumn="1" w:lastRow="0" w:lastColumn="0" w:firstRow="1"/>
      </w:tblPr>
      <w:tblGrid>
        <w:gridCol w:w="1749"/>
        <w:gridCol w:w="1748"/>
        <w:gridCol w:w="1179"/>
        <w:gridCol w:w="1846"/>
        <w:gridCol w:w="423"/>
        <w:gridCol w:w="1560"/>
        <w:gridCol w:w="993"/>
        <w:gridCol w:w="1699"/>
      </w:tblGrid>
      <w:tr>
        <w:trPr/>
        <w:tc>
          <w:tcPr>
            <w:tcW w:w="174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All-cause</w:t>
            </w:r>
          </w:p>
        </w:tc>
        <w:tc>
          <w:tcPr>
            <w:tcW w:w="117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6"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423"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CVD</w:t>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69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749" w:type="dxa"/>
            <w:tcBorders>
              <w:top w:val="nil"/>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PAI</w:t>
            </w:r>
          </w:p>
        </w:tc>
        <w:tc>
          <w:tcPr>
            <w:tcW w:w="1748"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Men</w:t>
            </w:r>
          </w:p>
        </w:tc>
        <w:tc>
          <w:tcPr>
            <w:tcW w:w="117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6"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69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749"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Person-years</w:t>
            </w:r>
          </w:p>
        </w:tc>
        <w:tc>
          <w:tcPr>
            <w:tcW w:w="1179"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Deaths</w:t>
            </w:r>
          </w:p>
        </w:tc>
        <w:tc>
          <w:tcPr>
            <w:tcW w:w="184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HR (95% CI)</w:t>
            </w:r>
            <w:r>
              <w:rPr>
                <w:rFonts w:cs="Arial" w:ascii="Arial" w:hAnsi="Arial"/>
                <w:sz w:val="20"/>
                <w:szCs w:val="20"/>
                <w:vertAlign w:val="superscript"/>
              </w:rPr>
              <w:t>a</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Person-years</w:t>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Deaths</w:t>
            </w:r>
          </w:p>
        </w:tc>
        <w:tc>
          <w:tcPr>
            <w:tcW w:w="169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HR (95% CI)</w:t>
            </w:r>
            <w:r>
              <w:rPr>
                <w:rFonts w:cs="Arial" w:ascii="Arial" w:hAnsi="Arial"/>
                <w:sz w:val="20"/>
                <w:szCs w:val="20"/>
                <w:vertAlign w:val="superscript"/>
              </w:rPr>
              <w:t>a</w:t>
            </w:r>
          </w:p>
        </w:tc>
      </w:tr>
      <w:tr>
        <w:trPr/>
        <w:tc>
          <w:tcPr>
            <w:tcW w:w="174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74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170,768</w:t>
            </w:r>
          </w:p>
        </w:tc>
        <w:tc>
          <w:tcPr>
            <w:tcW w:w="117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2131</w:t>
            </w:r>
          </w:p>
        </w:tc>
        <w:tc>
          <w:tcPr>
            <w:tcW w:w="184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170,768</w:t>
            </w:r>
          </w:p>
        </w:tc>
        <w:tc>
          <w:tcPr>
            <w:tcW w:w="993"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823</w:t>
            </w:r>
          </w:p>
        </w:tc>
        <w:tc>
          <w:tcPr>
            <w:tcW w:w="169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r>
      <w:tr>
        <w:trPr/>
        <w:tc>
          <w:tcPr>
            <w:tcW w:w="174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74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79,255</w:t>
            </w:r>
          </w:p>
        </w:tc>
        <w:tc>
          <w:tcPr>
            <w:tcW w:w="117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1624</w:t>
            </w:r>
          </w:p>
        </w:tc>
        <w:tc>
          <w:tcPr>
            <w:tcW w:w="184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1.01 (0.94-1.07)</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79,256</w:t>
            </w:r>
          </w:p>
        </w:tc>
        <w:tc>
          <w:tcPr>
            <w:tcW w:w="99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693</w:t>
            </w:r>
          </w:p>
        </w:tc>
        <w:tc>
          <w:tcPr>
            <w:tcW w:w="16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1.07 (0.97-1.18)</w:t>
            </w:r>
          </w:p>
        </w:tc>
      </w:tr>
      <w:tr>
        <w:trPr/>
        <w:tc>
          <w:tcPr>
            <w:tcW w:w="174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748"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36,567</w:t>
            </w:r>
          </w:p>
        </w:tc>
        <w:tc>
          <w:tcPr>
            <w:tcW w:w="117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430</w:t>
            </w:r>
          </w:p>
        </w:tc>
        <w:tc>
          <w:tcPr>
            <w:tcW w:w="1846"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0.89 (0.80-0.98)</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36,567</w:t>
            </w:r>
          </w:p>
        </w:tc>
        <w:tc>
          <w:tcPr>
            <w:tcW w:w="993"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177</w:t>
            </w:r>
          </w:p>
        </w:tc>
        <w:tc>
          <w:tcPr>
            <w:tcW w:w="169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0.93 (0.79-1.09)</w:t>
            </w:r>
          </w:p>
        </w:tc>
      </w:tr>
      <w:tr>
        <w:trPr/>
        <w:tc>
          <w:tcPr>
            <w:tcW w:w="174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748"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112,318</w:t>
            </w:r>
          </w:p>
        </w:tc>
        <w:tc>
          <w:tcPr>
            <w:tcW w:w="117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950</w:t>
            </w:r>
          </w:p>
        </w:tc>
        <w:tc>
          <w:tcPr>
            <w:tcW w:w="1846"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0.88 (0.81-0.95)</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112,317</w:t>
            </w:r>
          </w:p>
        </w:tc>
        <w:tc>
          <w:tcPr>
            <w:tcW w:w="993"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338</w:t>
            </w:r>
          </w:p>
        </w:tc>
        <w:tc>
          <w:tcPr>
            <w:tcW w:w="169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0.81 (0.71-0.92)</w:t>
            </w:r>
          </w:p>
        </w:tc>
      </w:tr>
      <w:tr>
        <w:trPr/>
        <w:tc>
          <w:tcPr>
            <w:tcW w:w="174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7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6"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-trend&lt;0.001</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69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-trend&lt;0.01</w:t>
            </w:r>
          </w:p>
        </w:tc>
      </w:tr>
      <w:tr>
        <w:trPr/>
        <w:tc>
          <w:tcPr>
            <w:tcW w:w="174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Women</w:t>
            </w:r>
          </w:p>
        </w:tc>
        <w:tc>
          <w:tcPr>
            <w:tcW w:w="117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6"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69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74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74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168,284</w:t>
            </w:r>
          </w:p>
        </w:tc>
        <w:tc>
          <w:tcPr>
            <w:tcW w:w="117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1655</w:t>
            </w:r>
          </w:p>
        </w:tc>
        <w:tc>
          <w:tcPr>
            <w:tcW w:w="184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168,284</w:t>
            </w:r>
          </w:p>
        </w:tc>
        <w:tc>
          <w:tcPr>
            <w:tcW w:w="993"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607</w:t>
            </w:r>
          </w:p>
        </w:tc>
        <w:tc>
          <w:tcPr>
            <w:tcW w:w="169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r>
      <w:tr>
        <w:trPr/>
        <w:tc>
          <w:tcPr>
            <w:tcW w:w="174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74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149,046</w:t>
            </w:r>
          </w:p>
        </w:tc>
        <w:tc>
          <w:tcPr>
            <w:tcW w:w="117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1984</w:t>
            </w:r>
          </w:p>
        </w:tc>
        <w:tc>
          <w:tcPr>
            <w:tcW w:w="184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0.90 (0.84-0.96)</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149,046</w:t>
            </w:r>
          </w:p>
        </w:tc>
        <w:tc>
          <w:tcPr>
            <w:tcW w:w="99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751</w:t>
            </w:r>
          </w:p>
        </w:tc>
        <w:tc>
          <w:tcPr>
            <w:tcW w:w="169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0.87 (0.84-0.97)</w:t>
            </w:r>
          </w:p>
        </w:tc>
      </w:tr>
      <w:tr>
        <w:trPr/>
        <w:tc>
          <w:tcPr>
            <w:tcW w:w="174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748"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49,745</w:t>
            </w:r>
          </w:p>
        </w:tc>
        <w:tc>
          <w:tcPr>
            <w:tcW w:w="117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406</w:t>
            </w:r>
          </w:p>
        </w:tc>
        <w:tc>
          <w:tcPr>
            <w:tcW w:w="1846"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0.88 (0.79-0.98)</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49,745</w:t>
            </w:r>
          </w:p>
        </w:tc>
        <w:tc>
          <w:tcPr>
            <w:tcW w:w="993"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147</w:t>
            </w:r>
          </w:p>
        </w:tc>
        <w:tc>
          <w:tcPr>
            <w:tcW w:w="169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0.89 (0.74-1.07)</w:t>
            </w:r>
          </w:p>
        </w:tc>
      </w:tr>
      <w:tr>
        <w:trPr/>
        <w:tc>
          <w:tcPr>
            <w:tcW w:w="174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748"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68,379</w:t>
            </w:r>
          </w:p>
        </w:tc>
        <w:tc>
          <w:tcPr>
            <w:tcW w:w="117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325</w:t>
            </w:r>
          </w:p>
        </w:tc>
        <w:tc>
          <w:tcPr>
            <w:tcW w:w="1846"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0.83 (0.74-0.94)</w:t>
            </w:r>
          </w:p>
        </w:tc>
        <w:tc>
          <w:tcPr>
            <w:tcW w:w="42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68,379</w:t>
            </w:r>
          </w:p>
        </w:tc>
        <w:tc>
          <w:tcPr>
            <w:tcW w:w="993"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96</w:t>
            </w:r>
          </w:p>
        </w:tc>
        <w:tc>
          <w:tcPr>
            <w:tcW w:w="169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0.79 (0.63-0.98)</w:t>
            </w:r>
          </w:p>
        </w:tc>
      </w:tr>
      <w:tr>
        <w:trPr/>
        <w:tc>
          <w:tcPr>
            <w:tcW w:w="174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7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6"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-trend&lt;0.001</w:t>
            </w:r>
          </w:p>
        </w:tc>
        <w:tc>
          <w:tcPr>
            <w:tcW w:w="423"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60"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69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-trend=0.01</w:t>
            </w:r>
          </w:p>
        </w:tc>
      </w:tr>
    </w:tbl>
    <w:p>
      <w:pPr>
        <w:pStyle w:val="Normal"/>
        <w:spacing w:before="0" w:after="0"/>
        <w:rPr>
          <w:rFonts w:ascii="Arial" w:hAnsi="Arial" w:eastAsia="Times New Roman" w:cs="Arial"/>
          <w:color w:val="191919"/>
          <w:sz w:val="16"/>
          <w:szCs w:val="16"/>
          <w:lang w:eastAsia="nb-NO"/>
        </w:rPr>
      </w:pPr>
      <w:r>
        <w:rPr>
          <w:rFonts w:eastAsia="Times New Roman" w:cs="Arial" w:ascii="Arial" w:hAnsi="Arial"/>
          <w:color w:val="191919"/>
          <w:sz w:val="16"/>
          <w:szCs w:val="16"/>
          <w:lang w:eastAsia="nb-NO"/>
        </w:rPr>
        <w:t>CVD, cardiovascular disease; HR, hazard ratio</w:t>
      </w:r>
    </w:p>
    <w:p>
      <w:pPr>
        <w:sectPr>
          <w:footerReference w:type="default" r:id="rId10"/>
          <w:type w:val="nextPage"/>
          <w:pgSz w:orient="landscape" w:w="16838" w:h="11906"/>
          <w:pgMar w:left="1417" w:right="1417" w:header="0" w:top="1417" w:footer="708" w:bottom="1417" w:gutter="0"/>
          <w:pgNumType w:fmt="decimal"/>
          <w:formProt w:val="false"/>
          <w:textDirection w:val="lrTb"/>
          <w:docGrid w:type="default" w:linePitch="360" w:charSpace="4096"/>
        </w:sectPr>
        <w:pStyle w:val="Normal"/>
        <w:spacing w:before="0" w:after="0"/>
        <w:rPr>
          <w:rFonts w:ascii="Arial" w:hAnsi="Arial" w:cs="Arial"/>
          <w:sz w:val="16"/>
          <w:szCs w:val="16"/>
        </w:rPr>
      </w:pPr>
      <w:r>
        <w:rPr>
          <w:rFonts w:eastAsia="Times New Roman" w:cs="Arial" w:ascii="Arial" w:hAnsi="Arial"/>
          <w:color w:val="191919"/>
          <w:sz w:val="16"/>
          <w:szCs w:val="16"/>
          <w:vertAlign w:val="superscript"/>
          <w:lang w:eastAsia="nb-NO"/>
        </w:rPr>
        <w:t>a</w:t>
      </w:r>
      <w:r>
        <w:rPr>
          <w:rFonts w:cs="Arial" w:ascii="Arial" w:hAnsi="Arial"/>
          <w:sz w:val="16"/>
          <w:szCs w:val="16"/>
          <w:lang w:val="en-US"/>
        </w:rPr>
        <w:t xml:space="preserve">Adjusted for age, smoking </w:t>
      </w:r>
      <w:r>
        <w:rPr>
          <w:rFonts w:eastAsia="Times New Roman" w:cs="Arial" w:ascii="Arial" w:hAnsi="Arial"/>
          <w:sz w:val="16"/>
          <w:szCs w:val="16"/>
          <w:lang w:val="en-US" w:eastAsia="nb-NO"/>
        </w:rPr>
        <w:t xml:space="preserve">(smoker, non-smoker), body mass index (underweight, normal-weight, overweight), </w:t>
      </w:r>
      <w:r>
        <w:rPr>
          <w:rFonts w:cs="Arial" w:ascii="Arial" w:hAnsi="Arial"/>
          <w:sz w:val="16"/>
          <w:szCs w:val="16"/>
          <w:lang w:val="en-US"/>
        </w:rPr>
        <w:t>hypertension (normal, hypertensive), alcohol consumption, and education.</w:t>
      </w:r>
    </w:p>
    <w:p>
      <w:pPr>
        <w:pStyle w:val="Normal"/>
        <w:spacing w:before="0" w:after="0"/>
        <w:rPr>
          <w:rFonts w:ascii="Arial" w:hAnsi="Arial" w:cs="Arial"/>
          <w:b/>
          <w:b/>
          <w:sz w:val="24"/>
          <w:szCs w:val="20"/>
        </w:rPr>
      </w:pPr>
      <w:r>
        <w:rPr>
          <w:rFonts w:cs="Arial" w:ascii="Arial" w:hAnsi="Arial"/>
          <w:b/>
          <w:sz w:val="24"/>
          <w:szCs w:val="20"/>
        </w:rPr>
        <w:t>sFigure 2 Years of life lost according to PAI</w:t>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nil"/>
              <w:left w:val="nil"/>
              <w:right w:val="nil"/>
            </w:tcBorders>
          </w:tcPr>
          <w:p>
            <w:pPr>
              <w:pStyle w:val="Normal"/>
              <w:spacing w:lineRule="auto" w:line="240" w:before="0" w:after="0"/>
              <w:rPr>
                <w:rFonts w:ascii="Arial" w:hAnsi="Arial" w:cs="Arial"/>
                <w:b/>
                <w:b/>
                <w:sz w:val="24"/>
                <w:szCs w:val="20"/>
              </w:rPr>
            </w:pPr>
            <w:r>
              <w:rPr/>
              <w:drawing>
                <wp:inline distT="0" distB="0" distL="0" distR="0">
                  <wp:extent cx="5760720" cy="2220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1"/>
                          <a:stretch>
                            <a:fillRect/>
                          </a:stretch>
                        </pic:blipFill>
                        <pic:spPr bwMode="auto">
                          <a:xfrm>
                            <a:off x="0" y="0"/>
                            <a:ext cx="5760720" cy="2220595"/>
                          </a:xfrm>
                          <a:prstGeom prst="rect">
                            <a:avLst/>
                          </a:prstGeom>
                        </pic:spPr>
                      </pic:pic>
                    </a:graphicData>
                  </a:graphic>
                </wp:inline>
              </w:drawing>
            </w:r>
          </w:p>
        </w:tc>
      </w:tr>
      <w:tr>
        <w:trPr/>
        <w:tc>
          <w:tcPr>
            <w:tcW w:w="9072" w:type="dxa"/>
            <w:tcBorders>
              <w:left w:val="nil"/>
              <w:bottom w:val="nil"/>
              <w:right w:val="nil"/>
            </w:tcBorders>
          </w:tcPr>
          <w:p>
            <w:pPr>
              <w:pStyle w:val="Normal"/>
              <w:spacing w:lineRule="auto" w:line="240" w:before="0" w:after="0"/>
              <w:rPr>
                <w:rFonts w:ascii="Arial" w:hAnsi="Arial" w:cs="Arial"/>
                <w:color w:val="000000" w:themeColor="text1"/>
                <w:sz w:val="16"/>
                <w:szCs w:val="16"/>
                <w:lang w:val="en-US"/>
              </w:rPr>
            </w:pPr>
            <w:r>
              <w:rPr>
                <w:rFonts w:cs="Arial" w:ascii="Arial" w:hAnsi="Arial"/>
                <w:color w:val="000000" w:themeColor="text1"/>
                <w:sz w:val="16"/>
                <w:szCs w:val="16"/>
                <w:lang w:val="en-US"/>
              </w:rPr>
              <w:t xml:space="preserve">Based on proportional hazard regression models using attained age as underlying metric, and adjusted for smoking (smoker, non-smoker), body mass index </w:t>
            </w:r>
            <w:r>
              <w:rPr>
                <w:rFonts w:eastAsia="Times New Roman" w:cs="Arial" w:ascii="Arial" w:hAnsi="Arial"/>
                <w:sz w:val="16"/>
                <w:szCs w:val="16"/>
                <w:lang w:val="en-US" w:eastAsia="nb-NO"/>
              </w:rPr>
              <w:t xml:space="preserve">(underweight, normal-weight, overweight), </w:t>
            </w:r>
            <w:r>
              <w:rPr>
                <w:rFonts w:cs="Arial" w:ascii="Arial" w:hAnsi="Arial"/>
                <w:sz w:val="16"/>
                <w:szCs w:val="16"/>
                <w:lang w:val="en-US"/>
              </w:rPr>
              <w:t>hypertension (normal, hypertensive), alcohol consumption, and education.</w:t>
            </w:r>
            <w:r>
              <w:rPr>
                <w:rFonts w:cs="Arial" w:ascii="Arial" w:hAnsi="Arial"/>
                <w:color w:val="000000" w:themeColor="text1"/>
                <w:sz w:val="16"/>
                <w:szCs w:val="16"/>
                <w:lang w:val="en-US"/>
              </w:rPr>
              <w:t xml:space="preserve"> A) </w:t>
            </w:r>
            <w:r>
              <w:rPr>
                <w:rFonts w:cs="Arial" w:ascii="Arial" w:hAnsi="Arial"/>
                <w:sz w:val="16"/>
                <w:szCs w:val="16"/>
                <w:lang w:val="en-US"/>
              </w:rPr>
              <w:t>Men; B) Women</w:t>
            </w:r>
          </w:p>
        </w:tc>
      </w:tr>
    </w:tbl>
    <w:p>
      <w:pPr>
        <w:pStyle w:val="Normal"/>
        <w:spacing w:before="0" w:after="0"/>
        <w:rPr>
          <w:rFonts w:ascii="Arial" w:hAnsi="Arial" w:cs="Arial"/>
          <w:b/>
          <w:b/>
          <w:sz w:val="24"/>
          <w:szCs w:val="20"/>
        </w:rPr>
      </w:pPr>
      <w:r>
        <w:rPr/>
      </w:r>
    </w:p>
    <w:sectPr>
      <w:footerReference w:type="default" r:id="rId12"/>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6231733"/>
    </w:sdtPr>
    <w:sdtContent>
      <w:p>
        <w:pPr>
          <w:pStyle w:val="Footer"/>
          <w:jc w:val="right"/>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7668247"/>
    </w:sdtPr>
    <w:sdtContent>
      <w:p>
        <w:pPr>
          <w:pStyle w:val="Footer"/>
          <w:jc w:val="right"/>
          <w:rPr/>
        </w:pPr>
        <w:r>
          <w:rPr/>
          <w:fldChar w:fldCharType="begin"/>
        </w:r>
        <w:r>
          <w:rPr/>
          <w:instrText>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2249471"/>
    </w:sdtPr>
    <w:sdtContent>
      <w:p>
        <w:pPr>
          <w:pStyle w:val="Footer"/>
          <w:jc w:val="right"/>
          <w:rPr/>
        </w:pPr>
        <w:r>
          <w:rPr/>
          <w:fldChar w:fldCharType="begin"/>
        </w:r>
        <w:r>
          <w:rPr/>
          <w:instrText> PAGE </w:instrText>
        </w:r>
        <w:r>
          <w:rPr/>
          <w:fldChar w:fldCharType="separate"/>
        </w:r>
        <w:r>
          <w:rPr/>
          <w:t>4</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9063847"/>
    </w:sdtPr>
    <w:sdtContent>
      <w:p>
        <w:pPr>
          <w:pStyle w:val="Footer"/>
          <w:jc w:val="right"/>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8163897"/>
    </w:sdtPr>
    <w:sdtContent>
      <w:p>
        <w:pPr>
          <w:pStyle w:val="Footer"/>
          <w:jc w:val="right"/>
          <w:rPr/>
        </w:pPr>
        <w:r>
          <w:rPr/>
          <w:fldChar w:fldCharType="begin"/>
        </w:r>
        <w:r>
          <w:rPr/>
          <w:instrText> PAGE </w:instrText>
        </w:r>
        <w:r>
          <w:rPr/>
          <w:fldChar w:fldCharType="separate"/>
        </w:r>
        <w:r>
          <w:rPr/>
          <w:t>6</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9257288"/>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6095267"/>
    </w:sdtPr>
    <w:sdtContent>
      <w:p>
        <w:pPr>
          <w:pStyle w:val="Footer"/>
          <w:jc w:val="right"/>
          <w:rPr/>
        </w:pPr>
        <w:r>
          <w:rPr/>
          <w:fldChar w:fldCharType="begin"/>
        </w:r>
        <w:r>
          <w:rPr/>
          <w:instrText> PAGE </w:instrText>
        </w:r>
        <w:r>
          <w:rPr/>
          <w:fldChar w:fldCharType="separate"/>
        </w:r>
        <w:r>
          <w:rPr/>
          <w:t>8</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2042109"/>
    </w:sdtPr>
    <w:sdtContent>
      <w:p>
        <w:pPr>
          <w:pStyle w:val="Footer"/>
          <w:jc w:val="right"/>
          <w:rPr/>
        </w:pPr>
        <w:r>
          <w:rPr/>
          <w:fldChar w:fldCharType="begin"/>
        </w:r>
        <w:r>
          <w:rPr/>
          <w:instrText> PAGE </w:instrText>
        </w:r>
        <w:r>
          <w:rPr/>
          <w:fldChar w:fldCharType="separate"/>
        </w:r>
        <w:r>
          <w:rPr/>
          <w:t>9</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7960168"/>
    </w:sdtPr>
    <w:sdtContent>
      <w:p>
        <w:pPr>
          <w:pStyle w:val="Footer"/>
          <w:jc w:val="right"/>
          <w:rPr/>
        </w:pPr>
        <w:r>
          <w:rPr/>
          <w:fldChar w:fldCharType="begin"/>
        </w:r>
        <w:r>
          <w:rPr/>
          <w:instrText> PAGE </w:instrText>
        </w:r>
        <w:r>
          <w:rPr/>
          <w:fldChar w:fldCharType="separate"/>
        </w:r>
        <w:r>
          <w:rPr/>
          <w:t>10</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73170b"/>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d0760"/>
    <w:rPr>
      <w:rFonts w:ascii="Tahoma" w:hAnsi="Tahoma" w:cs="Tahoma"/>
      <w:sz w:val="16"/>
      <w:szCs w:val="16"/>
      <w:lang w:val="en-GB"/>
    </w:rPr>
  </w:style>
  <w:style w:type="character" w:styleId="HeaderChar" w:customStyle="1">
    <w:name w:val="Header Char"/>
    <w:basedOn w:val="DefaultParagraphFont"/>
    <w:link w:val="Header"/>
    <w:uiPriority w:val="99"/>
    <w:qFormat/>
    <w:rsid w:val="00107993"/>
    <w:rPr>
      <w:lang w:val="en-GB"/>
    </w:rPr>
  </w:style>
  <w:style w:type="character" w:styleId="FooterChar" w:customStyle="1">
    <w:name w:val="Footer Char"/>
    <w:basedOn w:val="DefaultParagraphFont"/>
    <w:link w:val="Footer"/>
    <w:uiPriority w:val="99"/>
    <w:qFormat/>
    <w:rsid w:val="00107993"/>
    <w:rPr>
      <w:lang w:val="en-GB"/>
    </w:rPr>
  </w:style>
  <w:style w:type="character" w:styleId="Annotationreference">
    <w:name w:val="annotation reference"/>
    <w:basedOn w:val="DefaultParagraphFont"/>
    <w:uiPriority w:val="99"/>
    <w:semiHidden/>
    <w:unhideWhenUsed/>
    <w:qFormat/>
    <w:rsid w:val="005c1151"/>
    <w:rPr>
      <w:sz w:val="16"/>
      <w:szCs w:val="16"/>
    </w:rPr>
  </w:style>
  <w:style w:type="character" w:styleId="CommentTextChar" w:customStyle="1">
    <w:name w:val="Comment Text Char"/>
    <w:basedOn w:val="DefaultParagraphFont"/>
    <w:link w:val="CommentText"/>
    <w:uiPriority w:val="99"/>
    <w:semiHidden/>
    <w:qFormat/>
    <w:rsid w:val="005c1151"/>
    <w:rPr>
      <w:sz w:val="20"/>
      <w:szCs w:val="20"/>
      <w:lang w:val="en-GB"/>
    </w:rPr>
  </w:style>
  <w:style w:type="character" w:styleId="CommentSubjectChar" w:customStyle="1">
    <w:name w:val="Comment Subject Char"/>
    <w:basedOn w:val="CommentTextChar"/>
    <w:link w:val="CommentSubject"/>
    <w:uiPriority w:val="99"/>
    <w:semiHidden/>
    <w:qFormat/>
    <w:rsid w:val="005c1151"/>
    <w:rPr>
      <w:b/>
      <w:bCs/>
      <w:sz w:val="20"/>
      <w:szCs w:val="20"/>
      <w:lang w:val="en-GB"/>
    </w:rPr>
  </w:style>
  <w:style w:type="character" w:styleId="Heading1Char" w:customStyle="1">
    <w:name w:val="Heading 1 Char"/>
    <w:basedOn w:val="DefaultParagraphFont"/>
    <w:link w:val="Heading1"/>
    <w:uiPriority w:val="9"/>
    <w:qFormat/>
    <w:rsid w:val="0073170b"/>
    <w:rPr>
      <w:rFonts w:ascii="Times New Roman" w:hAnsi="Times New Roman" w:eastAsia="Times New Roman" w:cs="Times New Roman"/>
      <w:b/>
      <w:bCs/>
      <w:kern w:val="2"/>
      <w:sz w:val="48"/>
      <w:szCs w:val="48"/>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d0760"/>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07993"/>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107993"/>
    <w:pPr>
      <w:tabs>
        <w:tab w:val="clear" w:pos="720"/>
        <w:tab w:val="center" w:pos="4703" w:leader="none"/>
        <w:tab w:val="right" w:pos="9406" w:leader="none"/>
      </w:tabs>
      <w:spacing w:lineRule="auto" w:line="240" w:before="0" w:after="0"/>
    </w:pPr>
    <w:rPr/>
  </w:style>
  <w:style w:type="paragraph" w:styleId="Annotationtext">
    <w:name w:val="annotation text"/>
    <w:basedOn w:val="Normal"/>
    <w:link w:val="CommentTextChar"/>
    <w:uiPriority w:val="99"/>
    <w:semiHidden/>
    <w:unhideWhenUsed/>
    <w:qFormat/>
    <w:rsid w:val="005c115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c1151"/>
    <w:pPr/>
    <w:rPr>
      <w:b/>
      <w:bCs/>
    </w:rPr>
  </w:style>
  <w:style w:type="paragraph" w:styleId="ListParagraph">
    <w:name w:val="List Paragraph"/>
    <w:basedOn w:val="Normal"/>
    <w:uiPriority w:val="34"/>
    <w:qFormat/>
    <w:rsid w:val="00265f5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73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image" Target="media/image2.tif"/><Relationship Id="rId12" Type="http://schemas.openxmlformats.org/officeDocument/2006/relationships/footer" Target="footer9.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4544E-0EAA-4E72-A1E2-5964F865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LibreOffice/6.4.7.2$Linux_X86_64 LibreOffice_project/40$Build-2</Application>
  <Pages>10</Pages>
  <Words>2224</Words>
  <Characters>12254</Characters>
  <CharactersWithSpaces>13783</CharactersWithSpaces>
  <Paragraphs>700</Paragraphs>
  <Company>NTNU DMF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2016-09-20T12:39:00Z</dcterms:created>
  <dc:creator>Javaid Nauman</dc:creator>
  <dc:description/>
  <dc:language>en-US</dc:language>
  <cp:lastModifiedBy/>
  <dcterms:modified xsi:type="dcterms:W3CDTF">2022-02-11T16:48:37Z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NTNU DMF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