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30"/>
      </w:pPr>
      <w:r>
        <w:rPr>
          <w:sz w:val="38"/>
          <w:szCs w:val="38"/>
          <w:color w:val="000000"/>
          <w:rFonts w:ascii="Microsoft YaHei" w:eastAsia="微软雅黑" w:hAnsi="Microsoft YaHei"/>
          <w:b/>
          <w:bCs/>
        </w:rPr>
        <w:t xml:space="preserve">BIM施工进度分析报告</w:t>
      </w:r>
    </w:p>
    <w:p>
      <w:pPr>
        <w:jc w:val="center"/>
        <w:spacing w:before="0" w:after="85"/>
      </w:pPr>
      <w:r>
        <w:rPr>
          <w:sz w:val="17"/>
          <w:szCs w:val="17"/>
          <w:color w:val="000000"/>
          <w:rFonts w:ascii="Microsoft YaHei" w:eastAsia="微软雅黑" w:hAnsi="Microsoft YaHei"/>
        </w:rPr>
        <w:t xml:space="preserve">深圳宝安国际机场 T2 航站楼基础工程    E标段    报告日期：2026-05-29    数据来源：BIM模型、计划进度、实际录入</w:t>
      </w:r>
    </w:p>
    <w:tbl>
      <w:tblPr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00"/>
        <w:gridCol w:w="3800"/>
        <w:gridCol w:w="3800"/>
        <w:gridCol w:w="3800"/>
      </w:tblGrid>
      <w:tr>
        <w:trPr>
          <w:trHeight w:val="330" w:hRule="atLeast"/>
        </w:trPr>
        <w:tc>
          <w:tcPr>
            <w:tcW w:w="38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6"/>
                <w:szCs w:val="16"/>
                <w:color w:val="000000"/>
                <w:rFonts w:ascii="Microsoft YaHei" w:eastAsia="微软雅黑" w:hAnsi="Microsoft YaHei"/>
                <w:b/>
                <w:bCs/>
              </w:rPr>
              <w:t xml:space="preserve">计划完成率</w:t>
            </w:r>
          </w:p>
        </w:tc>
        <w:tc>
          <w:tcPr>
            <w:tcW w:w="38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6"/>
                <w:szCs w:val="16"/>
                <w:color w:val="000000"/>
                <w:rFonts w:ascii="Microsoft YaHei" w:eastAsia="微软雅黑" w:hAnsi="Microsoft YaHei"/>
                <w:b/>
                <w:bCs/>
              </w:rPr>
              <w:t xml:space="preserve">实际完成率</w:t>
            </w:r>
          </w:p>
        </w:tc>
        <w:tc>
          <w:tcPr>
            <w:tcW w:w="38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6"/>
                <w:szCs w:val="16"/>
                <w:color w:val="000000"/>
                <w:rFonts w:ascii="Microsoft YaHei" w:eastAsia="微软雅黑" w:hAnsi="Microsoft YaHei"/>
                <w:b/>
                <w:bCs/>
              </w:rPr>
              <w:t xml:space="preserve">录入覆盖率</w:t>
            </w:r>
          </w:p>
        </w:tc>
        <w:tc>
          <w:tcPr>
            <w:tcW w:w="38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6"/>
                <w:szCs w:val="16"/>
                <w:color w:val="000000"/>
                <w:rFonts w:ascii="Microsoft YaHei" w:eastAsia="微软雅黑" w:hAnsi="Microsoft YaHei"/>
                <w:b/>
                <w:bCs/>
              </w:rPr>
              <w:t xml:space="preserve">预警/滞后</w:t>
            </w:r>
          </w:p>
        </w:tc>
      </w:tr>
      <w:tr>
        <w:trPr>
          <w:trHeight w:val="410" w:hRule="atLeast"/>
        </w:trPr>
        <w:tc>
          <w:tcPr>
            <w:tcW w:w="38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22"/>
                <w:szCs w:val="22"/>
                <w:color w:val="000000"/>
                <w:rFonts w:ascii="Microsoft YaHei" w:eastAsia="微软雅黑" w:hAnsi="Microsoft YaHei"/>
                <w:b/>
                <w:bCs/>
              </w:rPr>
              <w:t xml:space="preserve">90%</w:t>
            </w:r>
          </w:p>
        </w:tc>
        <w:tc>
          <w:tcPr>
            <w:tcW w:w="38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22"/>
                <w:szCs w:val="22"/>
                <w:color w:val="000000"/>
                <w:rFonts w:ascii="Microsoft YaHei" w:eastAsia="微软雅黑" w:hAnsi="Microsoft YaHei"/>
                <w:b/>
                <w:bCs/>
              </w:rPr>
              <w:t xml:space="preserve">40%</w:t>
            </w:r>
          </w:p>
        </w:tc>
        <w:tc>
          <w:tcPr>
            <w:tcW w:w="38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22"/>
                <w:szCs w:val="22"/>
                <w:color w:val="000000"/>
                <w:rFonts w:ascii="Microsoft YaHei" w:eastAsia="微软雅黑" w:hAnsi="Microsoft YaHei"/>
                <w:b/>
                <w:bCs/>
              </w:rPr>
              <w:t xml:space="preserve">5/101</w:t>
            </w:r>
          </w:p>
        </w:tc>
        <w:tc>
          <w:tcPr>
            <w:tcW w:w="38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22"/>
                <w:szCs w:val="22"/>
                <w:color w:val="000000"/>
                <w:rFonts w:ascii="Microsoft YaHei" w:eastAsia="微软雅黑" w:hAnsi="Microsoft YaHei"/>
                <w:b/>
                <w:bCs/>
              </w:rPr>
              <w:t xml:space="preserve">3</w:t>
            </w:r>
          </w:p>
        </w:tc>
      </w:tr>
    </w:tbl>
    <w:p>
      <w:pPr>
        <w:spacing w:before="0" w:after="55"/>
      </w:pPr>
    </w:p>
    <w:tbl>
      <w:tblPr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0"/>
        <w:gridCol w:w="5700"/>
      </w:tblGrid>
      <w:tr>
        <w:trPr>
          <w:trHeight w:val="4600" w:hRule="atLeast"/>
        </w:trPr>
        <w:tc>
          <w:tcPr>
            <w:tcW w:w="9600" w:type="dxa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55"/>
            </w:pPr>
            <w:r>
              <w:rPr>
                <w:sz w:val="21"/>
                <w:szCs w:val="21"/>
                <w:color w:val="000000"/>
                <w:rFonts w:ascii="Microsoft YaHei" w:eastAsia="微软雅黑" w:hAnsi="Microsoft YaHei"/>
                <w:b/>
                <w:bCs/>
              </w:rPr>
              <w:t xml:space="preserve">一、BIM模型进度展示</w:t>
            </w:r>
          </w:p>
          <w:tbl>
            <w:tblPr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400"/>
            </w:tblGrid>
            <w:tr>
              <w:trPr>
                <w:trHeight w:val="3300" w:hRule="atLeast"/>
              </w:trPr>
              <w:tc>
                <w:tcPr>
                  <w:tcW w:w="9400" w:type="dxa"/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spacing w:before="0" w:after="260"/>
                  </w:pPr>
                </w:p>
                <w:p>
                  <w:pPr>
                    <w:jc w:val="center"/>
                    <w:spacing w:before="0" w:after="70"/>
                  </w:pPr>
                  <w:r>
                    <w:rPr>
                      <w:sz w:val="28"/>
                      <w:szCs w:val="28"/>
                      <w:color w:val="000000"/>
                      <w:rFonts w:ascii="Microsoft YaHei" w:eastAsia="微软雅黑" w:hAnsi="Microsoft YaHei"/>
                      <w:b/>
                      <w:bCs/>
                    </w:rPr>
                    <w:t xml:space="preserve">BIM模型截图占位区</w:t>
                  </w:r>
                </w:p>
                <w:p>
                  <w:pPr>
                    <w:jc w:val="center"/>
                    <w:spacing w:before="0" w:after="80"/>
                  </w:pPr>
                  <w:r>
                    <w:rPr>
                      <w:sz w:val="17"/>
                      <w:szCs w:val="17"/>
                      <w:color w:val="000000"/>
                      <w:rFonts w:ascii="Microsoft YaHei" w:eastAsia="微软雅黑" w:hAnsi="Microsoft YaHei"/>
                    </w:rPr>
                    <w:t xml:space="preserve">后续正式导出时替换为当前标段实际进度模型截图</w:t>
                  </w:r>
                </w:p>
                <w:p>
                  <w:pPr>
                    <w:jc w:val="center"/>
                    <w:spacing w:before="0" w:after="0"/>
                  </w:pPr>
                  <w:r>
                    <w:rPr>
                      <w:sz w:val="16"/>
                      <w:szCs w:val="16"/>
                      <w:color w:val="000000"/>
                      <w:rFonts w:ascii="Microsoft YaHei" w:eastAsia="微软雅黑" w:hAnsi="Microsoft YaHei"/>
                    </w:rPr>
                    <w:t xml:space="preserve">图例：已完成 / 进行中 / 风险或未完成</w:t>
                  </w:r>
                </w:p>
              </w:tc>
            </w:tr>
          </w:tbl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说明：模型截图用于展示当前标段实际进度状态，便于快速定位风险区域。</w:t>
            </w:r>
          </w:p>
        </w:tc>
        <w:tc>
          <w:tcPr>
            <w:tcW w:w="5700" w:type="dxa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45"/>
            </w:pPr>
            <w:r>
              <w:rPr>
                <w:sz w:val="21"/>
                <w:szCs w:val="21"/>
                <w:color w:val="000000"/>
                <w:rFonts w:ascii="Microsoft YaHei" w:eastAsia="微软雅黑" w:hAnsi="Microsoft YaHei"/>
                <w:b/>
                <w:bCs/>
              </w:rPr>
              <w:t xml:space="preserve">二、分析结论</w:t>
            </w:r>
          </w:p>
          <w:p>
            <w:pPr>
              <w:spacing w:before="0" w:after="65"/>
            </w:pPr>
            <w:r>
              <w:rPr>
                <w:sz w:val="16"/>
                <w:szCs w:val="16"/>
                <w:color w:val="000000"/>
                <w:rFonts w:ascii="Microsoft YaHei" w:eastAsia="微软雅黑" w:hAnsi="Microsoft YaHei"/>
              </w:rPr>
              <w:t xml:space="preserve">截至 2026-05-29，E标段计划平均完成 </w:t>
            </w:r>
            <w:r>
              <w:rPr>
                <w:sz w:val="16"/>
                <w:szCs w:val="16"/>
                <w:color w:val="000000"/>
                <w:rFonts w:ascii="Microsoft YaHei" w:eastAsia="微软雅黑" w:hAnsi="Microsoft YaHei"/>
                <w:b/>
                <w:bCs/>
              </w:rPr>
              <w:t xml:space="preserve">90%</w:t>
            </w:r>
            <w:r>
              <w:rPr>
                <w:sz w:val="16"/>
                <w:szCs w:val="16"/>
                <w:color w:val="000000"/>
                <w:rFonts w:ascii="Microsoft YaHei" w:eastAsia="微软雅黑" w:hAnsi="Microsoft YaHei"/>
              </w:rPr>
              <w:t xml:space="preserve">，实际平均完成 </w:t>
            </w:r>
            <w:r>
              <w:rPr>
                <w:sz w:val="16"/>
                <w:szCs w:val="16"/>
                <w:color w:val="000000"/>
                <w:rFonts w:ascii="Microsoft YaHei" w:eastAsia="微软雅黑" w:hAnsi="Microsoft YaHei"/>
                <w:b/>
                <w:bCs/>
              </w:rPr>
              <w:t xml:space="preserve">40%</w:t>
            </w:r>
            <w:r>
              <w:rPr>
                <w:sz w:val="16"/>
                <w:szCs w:val="16"/>
                <w:color w:val="000000"/>
                <w:rFonts w:ascii="Microsoft YaHei" w:eastAsia="微软雅黑" w:hAnsi="Microsoft YaHei"/>
              </w:rPr>
              <w:t xml:space="preserve">，整体偏差 </w:t>
            </w:r>
            <w:r>
              <w:rPr>
                <w:sz w:val="16"/>
                <w:szCs w:val="16"/>
                <w:color w:val="000000"/>
                <w:rFonts w:ascii="Microsoft YaHei" w:eastAsia="微软雅黑" w:hAnsi="Microsoft YaHei"/>
                <w:b/>
                <w:bCs/>
              </w:rPr>
              <w:t xml:space="preserve">-50%</w:t>
            </w:r>
            <w:r>
              <w:rPr>
                <w:sz w:val="16"/>
                <w:szCs w:val="16"/>
                <w:color w:val="000000"/>
                <w:rFonts w:ascii="Microsoft YaHei" w:eastAsia="微软雅黑" w:hAnsi="Microsoft YaHei"/>
              </w:rPr>
              <w:t xml:space="preserve">。当前风险集中在 E1 区域，建议优先核查计划已完成但实际未录入或实际为 0% 的板块。</w:t>
            </w:r>
          </w:p>
          <w:p>
            <w:pPr>
              <w:spacing w:before="0" w:after="35"/>
            </w:pPr>
            <w:r>
              <w:rPr>
                <w:sz w:val="19"/>
                <w:szCs w:val="19"/>
                <w:color w:val="000000"/>
                <w:rFonts w:ascii="Microsoft YaHei" w:eastAsia="微软雅黑" w:hAnsi="Microsoft YaHei"/>
                <w:b/>
                <w:bCs/>
              </w:rPr>
              <w:t xml:space="preserve">三、主要滞后区域</w:t>
            </w:r>
          </w:p>
          <w:tbl>
            <w:tblPr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00"/>
              <w:gridCol w:w="1300"/>
              <w:gridCol w:w="1300"/>
              <w:gridCol w:w="1300"/>
            </w:tblGrid>
            <w:tr>
              <w:trPr>
                <w:trHeight w:val="310" w:hRule="atLeast"/>
              </w:trPr>
              <w:tc>
                <w:tcPr>
                  <w:tcW w:w="1300" w:type="dxa"/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sz w:val="15"/>
                      <w:szCs w:val="15"/>
                      <w:color w:val="000000"/>
                      <w:rFonts w:ascii="Microsoft YaHei" w:eastAsia="微软雅黑" w:hAnsi="Microsoft YaHei"/>
                      <w:b/>
                      <w:bCs/>
                    </w:rPr>
                    <w:t xml:space="preserve">区域</w:t>
                  </w:r>
                </w:p>
              </w:tc>
              <w:tc>
                <w:tcPr>
                  <w:tcW w:w="1300" w:type="dxa"/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sz w:val="15"/>
                      <w:szCs w:val="15"/>
                      <w:color w:val="000000"/>
                      <w:rFonts w:ascii="Microsoft YaHei" w:eastAsia="微软雅黑" w:hAnsi="Microsoft YaHei"/>
                      <w:b/>
                      <w:bCs/>
                    </w:rPr>
                    <w:t xml:space="preserve">计划</w:t>
                  </w:r>
                </w:p>
              </w:tc>
              <w:tc>
                <w:tcPr>
                  <w:tcW w:w="1300" w:type="dxa"/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sz w:val="15"/>
                      <w:szCs w:val="15"/>
                      <w:color w:val="000000"/>
                      <w:rFonts w:ascii="Microsoft YaHei" w:eastAsia="微软雅黑" w:hAnsi="Microsoft YaHei"/>
                      <w:b/>
                      <w:bCs/>
                    </w:rPr>
                    <w:t xml:space="preserve">实际</w:t>
                  </w:r>
                </w:p>
              </w:tc>
              <w:tc>
                <w:tcPr>
                  <w:tcW w:w="1300" w:type="dxa"/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sz w:val="15"/>
                      <w:szCs w:val="15"/>
                      <w:color w:val="000000"/>
                      <w:rFonts w:ascii="Microsoft YaHei" w:eastAsia="微软雅黑" w:hAnsi="Microsoft YaHei"/>
                      <w:b/>
                      <w:bCs/>
                    </w:rPr>
                    <w:t xml:space="preserve">偏差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1300" w:type="dxa"/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sz w:val="15"/>
                      <w:szCs w:val="15"/>
                      <w:color w:val="000000"/>
                      <w:rFonts w:ascii="Microsoft YaHei" w:eastAsia="微软雅黑" w:hAnsi="Microsoft YaHei"/>
                      <w:b/>
                      <w:bCs/>
                    </w:rPr>
                    <w:t xml:space="preserve">E1</w:t>
                  </w:r>
                </w:p>
              </w:tc>
              <w:tc>
                <w:tcPr>
                  <w:tcW w:w="1300" w:type="dxa"/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sz w:val="15"/>
                      <w:szCs w:val="15"/>
                      <w:color w:val="000000"/>
                      <w:rFonts w:ascii="Microsoft YaHei" w:eastAsia="微软雅黑" w:hAnsi="Microsoft YaHei"/>
                    </w:rPr>
                    <w:t xml:space="preserve">100%</w:t>
                  </w:r>
                </w:p>
              </w:tc>
              <w:tc>
                <w:tcPr>
                  <w:tcW w:w="1300" w:type="dxa"/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sz w:val="15"/>
                      <w:szCs w:val="15"/>
                      <w:color w:val="000000"/>
                      <w:rFonts w:ascii="Microsoft YaHei" w:eastAsia="微软雅黑" w:hAnsi="Microsoft YaHei"/>
                    </w:rPr>
                    <w:t xml:space="preserve">40%</w:t>
                  </w:r>
                </w:p>
              </w:tc>
              <w:tc>
                <w:tcPr>
                  <w:tcW w:w="1300" w:type="dxa"/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sz w:val="15"/>
                      <w:szCs w:val="15"/>
                      <w:color w:val="000000"/>
                      <w:rFonts w:ascii="Microsoft YaHei" w:eastAsia="微软雅黑" w:hAnsi="Microsoft YaHei"/>
                    </w:rPr>
                    <w:t xml:space="preserve">-60%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1300" w:type="dxa"/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sz w:val="15"/>
                      <w:szCs w:val="15"/>
                      <w:color w:val="000000"/>
                      <w:rFonts w:ascii="Microsoft YaHei" w:eastAsia="微软雅黑" w:hAnsi="Microsoft YaHei"/>
                      <w:b/>
                      <w:bCs/>
                    </w:rPr>
                    <w:t xml:space="preserve">E2</w:t>
                  </w:r>
                </w:p>
              </w:tc>
              <w:tc>
                <w:tcPr>
                  <w:tcW w:w="1300" w:type="dxa"/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sz w:val="15"/>
                      <w:szCs w:val="15"/>
                      <w:color w:val="000000"/>
                      <w:rFonts w:ascii="Microsoft YaHei" w:eastAsia="微软雅黑" w:hAnsi="Microsoft YaHei"/>
                    </w:rPr>
                    <w:t xml:space="preserve">80%</w:t>
                  </w:r>
                </w:p>
              </w:tc>
              <w:tc>
                <w:tcPr>
                  <w:tcW w:w="1300" w:type="dxa"/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sz w:val="15"/>
                      <w:szCs w:val="15"/>
                      <w:color w:val="000000"/>
                      <w:rFonts w:ascii="Microsoft YaHei" w:eastAsia="微软雅黑" w:hAnsi="Microsoft YaHei"/>
                    </w:rPr>
                    <w:t xml:space="preserve">37%</w:t>
                  </w:r>
                </w:p>
              </w:tc>
              <w:tc>
                <w:tcPr>
                  <w:tcW w:w="1300" w:type="dxa"/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sz w:val="15"/>
                      <w:szCs w:val="15"/>
                      <w:color w:val="000000"/>
                      <w:rFonts w:ascii="Microsoft YaHei" w:eastAsia="微软雅黑" w:hAnsi="Microsoft YaHei"/>
                    </w:rPr>
                    <w:t xml:space="preserve">-43%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1300" w:type="dxa"/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sz w:val="15"/>
                      <w:szCs w:val="15"/>
                      <w:color w:val="000000"/>
                      <w:rFonts w:ascii="Microsoft YaHei" w:eastAsia="微软雅黑" w:hAnsi="Microsoft YaHei"/>
                      <w:b/>
                      <w:bCs/>
                    </w:rPr>
                    <w:t xml:space="preserve">E4</w:t>
                  </w:r>
                </w:p>
              </w:tc>
              <w:tc>
                <w:tcPr>
                  <w:tcW w:w="1300" w:type="dxa"/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sz w:val="15"/>
                      <w:szCs w:val="15"/>
                      <w:color w:val="000000"/>
                      <w:rFonts w:ascii="Microsoft YaHei" w:eastAsia="微软雅黑" w:hAnsi="Microsoft YaHei"/>
                    </w:rPr>
                    <w:t xml:space="preserve">70%</w:t>
                  </w:r>
                </w:p>
              </w:tc>
              <w:tc>
                <w:tcPr>
                  <w:tcW w:w="1300" w:type="dxa"/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sz w:val="15"/>
                      <w:szCs w:val="15"/>
                      <w:color w:val="000000"/>
                      <w:rFonts w:ascii="Microsoft YaHei" w:eastAsia="微软雅黑" w:hAnsi="Microsoft YaHei"/>
                    </w:rPr>
                    <w:t xml:space="preserve">38%</w:t>
                  </w:r>
                </w:p>
              </w:tc>
              <w:tc>
                <w:tcPr>
                  <w:tcW w:w="1300" w:type="dxa"/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sz w:val="15"/>
                      <w:szCs w:val="15"/>
                      <w:color w:val="000000"/>
                      <w:rFonts w:ascii="Microsoft YaHei" w:eastAsia="微软雅黑" w:hAnsi="Microsoft YaHei"/>
                    </w:rPr>
                    <w:t xml:space="preserve">-32%</w:t>
                  </w:r>
                </w:p>
              </w:tc>
            </w:tr>
          </w:tbl>
          <w:p>
            <w:pPr>
              <w:spacing w:before="25" w:after="35"/>
            </w:pPr>
            <w:r>
              <w:rPr>
                <w:sz w:val="19"/>
                <w:szCs w:val="19"/>
                <w:color w:val="000000"/>
                <w:rFonts w:ascii="Microsoft YaHei" w:eastAsia="微软雅黑" w:hAnsi="Microsoft YaHei"/>
                <w:b/>
                <w:bCs/>
              </w:rPr>
              <w:t xml:space="preserve">四、核查建议</w:t>
            </w:r>
          </w:p>
          <w:p>
            <w:pPr>
              <w:spacing w:before="0" w:after="28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1. 优先核查偏差最大的 E1 区域，确认现场施工状态与系统录入是否一致。</w:t>
            </w:r>
          </w:p>
          <w:p>
            <w:pPr>
              <w:spacing w:before="0" w:after="28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2. 对计划已完成但实际为 0% 的板块，要求施工单位补充进度说明和完成凭证。</w:t>
            </w:r>
          </w:p>
          <w:p>
            <w:pPr>
              <w:spacing w:before="0" w:after="28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3. 将连续滞后的重点风险板块纳入周例会专项跟踪，形成闭环整改记录。</w:t>
            </w:r>
          </w:p>
        </w:tc>
      </w:tr>
    </w:tbl>
    <w:p>
      <w:pPr>
        <w:spacing w:before="0" w:after="35"/>
      </w:pPr>
    </w:p>
    <w:p>
      <w:pPr>
        <w:spacing w:before="0" w:after="38"/>
      </w:pPr>
      <w:r>
        <w:rPr>
          <w:sz w:val="21"/>
          <w:szCs w:val="21"/>
          <w:color w:val="000000"/>
          <w:rFonts w:ascii="Microsoft YaHei" w:eastAsia="微软雅黑" w:hAnsi="Microsoft YaHei"/>
          <w:b/>
          <w:bCs/>
        </w:rPr>
        <w:t xml:space="preserve">五、重点风险板块 Top 5</w:t>
      </w:r>
    </w:p>
    <w:tbl>
      <w:tblPr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1500"/>
        <w:gridCol w:w="1600"/>
        <w:gridCol w:w="1600"/>
        <w:gridCol w:w="1600"/>
        <w:gridCol w:w="1600"/>
      </w:tblGrid>
      <w:tr>
        <w:trPr>
          <w:trHeight w:val="310" w:hRule="atLeast"/>
        </w:trPr>
        <w:tc>
          <w:tcPr>
            <w:tcW w:w="3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  <w:b/>
                <w:bCs/>
              </w:rPr>
              <w:t xml:space="preserve">板块</w:t>
            </w:r>
          </w:p>
        </w:tc>
        <w:tc>
          <w:tcPr>
            <w:tcW w:w="15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  <w:b/>
                <w:bCs/>
              </w:rPr>
              <w:t xml:space="preserve">区域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  <w:b/>
                <w:bCs/>
              </w:rPr>
              <w:t xml:space="preserve">计划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  <w:b/>
                <w:bCs/>
              </w:rPr>
              <w:t xml:space="preserve">实际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  <w:b/>
                <w:bCs/>
              </w:rPr>
              <w:t xml:space="preserve">偏差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  <w:b/>
                <w:bCs/>
              </w:rPr>
              <w:t xml:space="preserve">状态</w:t>
            </w:r>
          </w:p>
        </w:tc>
      </w:tr>
      <w:tr>
        <w:trPr>
          <w:trHeight w:val="300" w:hRule="atLeast"/>
        </w:trPr>
        <w:tc>
          <w:tcPr>
            <w:tcW w:w="3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E1钢围檩</w:t>
            </w:r>
          </w:p>
        </w:tc>
        <w:tc>
          <w:tcPr>
            <w:tcW w:w="15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E1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100%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0%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-100%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滞后</w:t>
            </w:r>
          </w:p>
        </w:tc>
      </w:tr>
      <w:tr>
        <w:trPr>
          <w:trHeight w:val="300" w:hRule="atLeast"/>
        </w:trPr>
        <w:tc>
          <w:tcPr>
            <w:tcW w:w="3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E1钢支撑</w:t>
            </w:r>
          </w:p>
        </w:tc>
        <w:tc>
          <w:tcPr>
            <w:tcW w:w="15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E1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100%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0%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-100%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滞后</w:t>
            </w:r>
          </w:p>
        </w:tc>
      </w:tr>
      <w:tr>
        <w:trPr>
          <w:trHeight w:val="300" w:hRule="atLeast"/>
        </w:trPr>
        <w:tc>
          <w:tcPr>
            <w:tcW w:w="3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E1咬合桩</w:t>
            </w:r>
          </w:p>
        </w:tc>
        <w:tc>
          <w:tcPr>
            <w:tcW w:w="15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E1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100%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0%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-100%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滞后</w:t>
            </w:r>
          </w:p>
        </w:tc>
      </w:tr>
      <w:tr>
        <w:trPr>
          <w:trHeight w:val="300" w:hRule="atLeast"/>
        </w:trPr>
        <w:tc>
          <w:tcPr>
            <w:tcW w:w="3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E2冠梁</w:t>
            </w:r>
          </w:p>
        </w:tc>
        <w:tc>
          <w:tcPr>
            <w:tcW w:w="15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E2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80%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30%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-50%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预警</w:t>
            </w:r>
          </w:p>
        </w:tc>
      </w:tr>
      <w:tr>
        <w:trPr>
          <w:trHeight w:val="300" w:hRule="atLeast"/>
        </w:trPr>
        <w:tc>
          <w:tcPr>
            <w:tcW w:w="3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E4支护桩</w:t>
            </w:r>
          </w:p>
        </w:tc>
        <w:tc>
          <w:tcPr>
            <w:tcW w:w="15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E4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70%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35%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-35%</w:t>
            </w:r>
          </w:p>
        </w:tc>
        <w:tc>
          <w:tcPr>
            <w:tcW w:w="16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jc w:val="center"/>
              <w:spacing w:before="0" w:after="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预警</w:t>
            </w:r>
          </w:p>
        </w:tc>
      </w:tr>
    </w:tbl>
    <w:p>
      <w:pPr>
        <w:jc w:val="center"/>
        <w:spacing w:before="35" w:after="0"/>
      </w:pPr>
      <w:r>
        <w:rPr>
          <w:sz w:val="13"/>
          <w:szCs w:val="13"/>
          <w:color w:val="000000"/>
          <w:rFonts w:ascii="Microsoft YaHei" w:eastAsia="微软雅黑" w:hAnsi="Microsoft YaHei"/>
        </w:rPr>
        <w:t xml:space="preserve">本报告由 BIM施工进度偏差分析驾驶舱自动生成，仅供项目进度管理与决策参考。生成时间：2026-05-29 09:30</w:t>
      </w:r>
    </w:p>
    <w:sectPr>
      <w:pgSz w:w="16838" w:h="11906" w:orient="landscape"/>
      <w:pgMar w:top="454" w:right="454" w:bottom="454" w:left="454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微软雅黑" w:hAnsi="Microsoft YaHei"/>
      <w:color w:val="000000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