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15.01.2026 № 45-п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Службе внутреннего аудита</w:t>
      </w:r>
    </w:p>
    <w:p>
      <w:r>
        <w:rPr>
          <w:b/>
        </w:rPr>
        <w:t>1. Общие положения</w:t>
      </w:r>
    </w:p>
    <w:p>
      <w:r>
        <w:t>1.1. Служба внутреннего аудита (далее – СВА)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СВА: Совет директоров. Руководство осуществляет руководитель службы.</w:t>
      </w:r>
    </w:p>
    <w:p>
      <w:r>
        <w:t>1.3. СВА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СВА является предоставление Совету директоров независимых гарантий эффективности систем управления Общества.</w:t>
      </w:r>
    </w:p>
    <w:p>
      <w:r>
        <w:rPr>
          <w:b/>
        </w:rPr>
        <w:t>3. Функции</w:t>
      </w:r>
    </w:p>
    <w:p>
      <w:r>
        <w:t>3.1. Проведение внутренних аудиторских проверок.</w:t>
      </w:r>
    </w:p>
    <w:p>
      <w:r>
        <w:t>3.2. Оценка эффективности системы внутреннего контроля и управления рисками.</w:t>
      </w:r>
    </w:p>
    <w:p>
      <w:r>
        <w:t>3.3. Подготовка отчётов для Совета директоров и Комитета по аудиту.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СВА.</w:t>
      </w:r>
    </w:p>
    <w:p>
      <w:r>
        <w:t>4.2. Вносить руководству Общества предложения по совершенствованию деятельности в пределах компетенции СВА.</w:t>
      </w:r>
    </w:p>
    <w:p>
      <w:r>
        <w:rPr>
          <w:b/>
        </w:rPr>
        <w:t>5. Ответственность</w:t>
      </w:r>
    </w:p>
    <w:p>
      <w:r>
        <w:t>5.1. Руководитель службы несёт ответственность за ненадлежащее выполнение функций, возложенных на СВА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