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УЧЕБНЫЙ ПРИМЕР AYQYN — вымышленные документы, не нормативный акт.</w:t>
      </w:r>
    </w:p>
    <w:p>
      <w:r>
        <w:t>Аудит. Редакция 2. ПОСЛЕ реорганизации.</w:t>
      </w:r>
    </w:p>
    <w:p>
      <w:r>
        <w:t>6.1. Функции службы внутреннего аудита</w:t>
      </w:r>
    </w:p>
    <w:p>
      <w:r>
        <w:t>Служба внутреннего аудита осуществляет независимую проверку исполнения плана закупок.</w:t>
      </w:r>
    </w:p>
    <w:p>
      <w:r>
        <w:t>Служба внутреннего аудита направляет рекомендации по выявленным нарушениям.</w:t>
      </w:r>
    </w:p>
    <w:p>
      <w:r>
        <w:t>Служба внутреннего аудита согласовывает решения о выборе поставщиков по проверяемым закупкам.</w:t>
      </w:r>
    </w:p>
  </w:body>
</w:document>
</file>