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УЧЕБНЫЙ ПРИМЕР AYQYN — вымышленные документы, не нормативный акт.</w:t>
      </w:r>
    </w:p>
    <w:p>
      <w:r>
        <w:t>Структура. Редакция 1. ДО реорганизации.</w:t>
      </w:r>
    </w:p>
    <w:p>
      <w:r>
        <w:t>3.4. Структура организации</w:t>
      </w:r>
    </w:p>
    <w:p>
      <w:r>
        <w:t>Отдел планирования</w:t>
      </w:r>
    </w:p>
    <w:p>
      <w:r>
        <w:t>Отдел аналитики</w:t>
      </w:r>
    </w:p>
    <w:p>
      <w:r>
        <w:t>Служба внутреннего аудита</w:t>
      </w:r>
    </w:p>
  </w:body>
</w:document>
</file>