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УЧЕБНЫЙ ПРИМЕР — ПОЛОЖЕНИЕ О ВНУТРЕННЕМ АУДИТЕ</w:t>
      </w:r>
    </w:p>
    <w:p>
      <w:r>
        <w:t xml:space="preserve">Демонстрационный документ Larpsec. Это сокращённый учебный пример, а не официальная редакция положения. Он предназначен для проверки загрузки DOCX и просмотра текста.</w:t>
      </w:r>
    </w:p>
    <w:p>
      <w:r>
        <w:t xml:space="preserve">1. Общие положения</w:t>
      </w:r>
    </w:p>
    <w:p>
      <w:r>
        <w:t xml:space="preserve">1.1. Блок внутреннего аудита (БВА) осуществляет независимую оценку системы внутреннего контроля и управления рисками.</w:t>
      </w:r>
    </w:p>
    <w:p>
      <w:r>
        <w:t xml:space="preserve">1.2. Главный аудитор функционально подчиняется Совету директоров. Административное руководство осуществляется Президентом Общества.</w:t>
      </w:r>
    </w:p>
    <w:p>
      <w:r>
        <w:t xml:space="preserve">3. Структура подразделения</w:t>
      </w:r>
    </w:p>
    <w:p>
      <w:r>
        <w:t xml:space="preserve">3.4. В состав БВА входят Департамент непрерывного мониторинга системы внутреннего контроля (ДНМ) и Департамент контроля качества аудита и методологии (ДККМ).</w:t>
      </w:r>
    </w:p>
    <w:p>
      <w:r>
        <w:t xml:space="preserve">5. Права и обязанности</w:t>
      </w:r>
    </w:p>
    <w:p>
      <w:r>
        <w:t xml:space="preserve">5.4.6. Директор ДНМ анализирует результаты непрерывного аудита и готовит материалы и предложения в зоне ответственности для представления Главному аудитору.</w:t>
      </w:r>
    </w:p>
    <w:p>
      <w:r>
        <w:t xml:space="preserve">5.5.3. Директор ДККМ готовит отчеты об итогах выполнения плана работы БВА в соответствии с требованиями настоящего Положения.</w:t>
      </w:r>
    </w:p>
    <w:p>
      <w:r>
        <w:t xml:space="preserve">5.5.4. Директор ДККМ анализирует результаты непрерывного аудита и готовит материалы и предложения в зоне ответственности для представления Главному аудитору.</w:t>
      </w:r>
    </w:p>
    <w:p>
      <w:r>
        <w:t xml:space="preserve">Примечание: сходство формулировок само по себе не доказывает дублирование функций. Для вывода необходимо учитывать границы ответственности и полный комплект документов.</w:t>
      </w:r>
    </w:p>
    <w:sectPr>
      <w:pgSz w:w="11906" w:h="16838"/>
      <w:pgMar w:top="1134" w:right="1134" w:bottom="1134" w:left="1134"/>
    </w:sectPr>
  </w:body>
</w:document>
</file>