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Должностные инструкции сотрудников</w:t>
      </w:r>
    </w:p>
    <w:p>
      <w:r>
        <w:t>Учебная организация  |  после реорганизации  |  синтетический документ</w:t>
      </w:r>
    </w:p>
    <w:p>
      <w:r>
        <w:t>Подразделение: Компания</w:t>
      </w:r>
    </w:p>
    <w:p>
      <w:r>
        <w:t>Этот документ фиксирует функции и ответственность учебной организации для сравнения комплектов документов. Все лица и правила вымышлены.</w:t>
      </w:r>
    </w:p>
    <w:p>
      <w:pPr>
        <w:pStyle w:val="Heading1"/>
      </w:pPr>
      <w:r>
        <w:t>Функции</w:t>
      </w:r>
    </w:p>
    <w:p>
      <w:r>
        <w:t>Аналитик ИБ — мониторинг событий информационной безопасности</w:t>
      </w:r>
    </w:p>
    <w:p>
      <w:r>
        <w:t>Системный администратор — управление серверами и резервное копирование</w:t>
      </w:r>
    </w:p>
    <w:p>
      <w:r>
        <w:t>Руководитель внутреннего аудита — планирование внутренних проверок</w:t>
      </w:r>
    </w:p>
    <w:p>
      <w:pPr>
        <w:pStyle w:val="Heading1"/>
      </w:pPr>
      <w:r>
        <w:t>Полномочия</w:t>
      </w:r>
    </w:p>
    <w:p>
      <w:r>
        <w:t>Назначенные сотрудники действуют в пределах ролей и утверждённых заявок.</w:t>
      </w:r>
    </w:p>
    <w:p>
      <w:pPr>
        <w:pStyle w:val="Heading1"/>
      </w:pPr>
      <w:r>
        <w:t>Ответственность</w:t>
      </w:r>
    </w:p>
    <w:p>
      <w:r>
        <w:t>Каждая функция должна иметь одного ответственного исполнителя.</w:t>
      </w:r>
    </w:p>
    <w:sectPr w:rsidR="00FC693F" w:rsidRPr="0006063C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