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Приказ о реорганизации учебной компании</w:t>
      </w:r>
    </w:p>
    <w:p>
      <w:r>
        <w:t>Учебная организация  |  после реорганизации  |  синтетический документ</w:t>
      </w:r>
    </w:p>
    <w:p>
      <w:r>
        <w:t>Подразделение: Руководство</w:t>
      </w:r>
    </w:p>
    <w:p>
      <w:r>
        <w:t>Этот документ фиксирует функции и ответственность учебной организации для сравнения комплектов документов. Все лица и правила вымышлены.</w:t>
      </w:r>
    </w:p>
    <w:p>
      <w:pPr>
        <w:pStyle w:val="Heading1"/>
      </w:pPr>
      <w:r>
        <w:t>Функции</w:t>
      </w:r>
    </w:p>
    <w:p>
      <w:r>
        <w:t>1.1. Утверждение новых положений подразделений</w:t>
      </w:r>
    </w:p>
    <w:p>
      <w:pPr>
        <w:pStyle w:val="Heading1"/>
      </w:pPr>
      <w:r>
        <w:t>Полномочия</w:t>
      </w:r>
    </w:p>
    <w:p>
      <w:r>
        <w:t>Руководство утверждает новую организационную структуру.</w:t>
      </w:r>
    </w:p>
    <w:p>
      <w:pPr>
        <w:pStyle w:val="Heading1"/>
      </w:pPr>
      <w:r>
        <w:t>Ответственность</w:t>
      </w:r>
    </w:p>
    <w:p>
      <w:r>
        <w:t>3.1. Руководитель ИБ отвечает за назначение владельца реагирования на инциденты.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