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реорганизации учебной компании</w:t>
      </w:r>
    </w:p>
    <w:p>
      <w:r>
        <w:t>Учебная организация  |  до реорганизации  |  синтетический документ</w:t>
      </w:r>
    </w:p>
    <w:p>
      <w:r>
        <w:t>Подразделение: Руководство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Утверждение новых положений подразделений</w:t>
      </w:r>
    </w:p>
    <w:p>
      <w:pPr>
        <w:pStyle w:val="Heading1"/>
      </w:pPr>
      <w:r>
        <w:t>Полномочия</w:t>
      </w:r>
    </w:p>
    <w:p>
      <w:r>
        <w:t>Руководство утверждает новую организационную структуру.</w:t>
      </w:r>
    </w:p>
    <w:p>
      <w:pPr>
        <w:pStyle w:val="Heading1"/>
      </w:pPr>
      <w:r>
        <w:t>Ответственность</w:t>
      </w:r>
    </w:p>
    <w:p>
      <w:r>
        <w:t>3.1. Руководитель ИБ отвечает за назначение владельца реагирования на инциденты.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