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</w:t>
      </w:r>
    </w:p>
    <w:p>
      <w:pPr>
        <w:jc w:val="right"/>
      </w:pPr>
      <w:r>
        <w:t>решением Правления АО «ДемоТелеком»</w:t>
      </w:r>
    </w:p>
    <w:p>
      <w:pPr>
        <w:jc w:val="right"/>
      </w:pPr>
      <w:r>
        <w:t>протокол № 4 от «20» февраля 2025 года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цифровой инфраструктуры</w:t>
      </w:r>
    </w:p>
    <w:p>
      <w:pPr>
        <w:jc w:val="center"/>
      </w:pPr>
      <w:r>
        <w:t>(редакция № 1)</w:t>
      </w:r>
    </w:p>
    <w:p>
      <w:pPr>
        <w:pStyle w:val="Heading1"/>
      </w:pPr>
      <w:r>
        <w:t>1. Общие положения</w:t>
      </w:r>
    </w:p>
    <w:p>
      <w:r>
        <w:t>1.1. Департамент цифровой инфраструктуры (далее – ДЦИ) является структурным подразделением АО «ДемоТелеком» (далее – Общество).</w:t>
      </w:r>
    </w:p>
    <w:p>
      <w:r>
        <w:t>1.2. ДЦИ подчиняется Заместителю Председателя Правления по цифровизации.</w:t>
      </w:r>
    </w:p>
    <w:p>
      <w:r>
        <w:t>1.3. Руководство ДЦИ осуществляет Директор ДЦИ, назначаемый на должность приказом Председателя Правления Общества.</w:t>
      </w:r>
    </w:p>
    <w:p>
      <w:r>
        <w:t>1.4. В своей деятельности ДЦИ руководствуется законодательством Республики Казахстан, Уставом Общества, внутренними нормативными документами и настоящим Положением.</w:t>
      </w:r>
    </w:p>
    <w:p>
      <w:pPr>
        <w:pStyle w:val="Heading1"/>
      </w:pPr>
      <w:r>
        <w:t>2. Задачи</w:t>
      </w:r>
    </w:p>
    <w:p>
      <w:r>
        <w:t>2.1. обеспечение бесперебойного функционирования информационных систем и инфраструктуры Общества;</w:t>
      </w:r>
    </w:p>
    <w:p>
      <w:pPr>
        <w:pStyle w:val="Heading1"/>
      </w:pPr>
      <w:r>
        <w:t>3. Функции</w:t>
      </w:r>
    </w:p>
    <w:p>
      <w:r>
        <w:t>Для выполнения возложенных задач ДЦИ осуществляет следующие функции:</w:t>
      </w:r>
    </w:p>
    <w:p>
      <w:r>
        <w:t>3.1. администрирование серверной и сетевой инфраструктуры Общества;</w:t>
      </w:r>
    </w:p>
    <w:p>
      <w:r>
        <w:t>3.2. сопровождение корпоративных информационных систем;</w:t>
      </w:r>
    </w:p>
    <w:p>
      <w:r>
        <w:t>3.3. резервное копирование и восстановление данных;</w:t>
      </w:r>
    </w:p>
    <w:p>
      <w:r>
        <w:t>3.4. ведение реестра ИТ-активов Общества;</w:t>
      </w:r>
    </w:p>
    <w:p>
      <w:r>
        <w:t>3.5. подготовка технических спецификаций для закупки ИТ-оборудования и программного обеспечения;</w:t>
      </w:r>
    </w:p>
    <w:p>
      <w:r>
        <w:t>3.6. обучение работников Общества работе с корпоративными информационными системами;</w:t>
      </w:r>
    </w:p>
    <w:p>
      <w:pPr>
        <w:pStyle w:val="Heading1"/>
      </w:pPr>
      <w:r>
        <w:t>4. Права</w:t>
      </w:r>
    </w:p>
    <w:p>
      <w:r>
        <w:t>ДЦИ имеет право:</w:t>
      </w:r>
    </w:p>
    <w:p>
      <w:r>
        <w:t>4.1. запрашивать у структурных подразделений информацию, необходимую для выполнения функций;</w:t>
      </w:r>
    </w:p>
    <w:p>
      <w:pPr>
        <w:pStyle w:val="Heading1"/>
      </w:pPr>
      <w:r>
        <w:t>5. Ответственность</w:t>
      </w:r>
    </w:p>
    <w:p>
      <w:r>
        <w:t>5.1. Руководитель ДЦИ несет ответственность за надлежащее выполнение задач и функций, возложенных на ДЦИ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