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Датасет и правила симулятора Аким на 5 часов</w:t>
      </w:r>
    </w:p>
    <w:p>
      <w:pPr>
        <w:pStyle w:val="Subtitle"/>
      </w:pPr>
      <w:r>
        <w:t>Справочник для реализации и проверки расчётов</w:t>
      </w:r>
    </w:p>
    <w:p>
      <w:r>
        <w:t>Дата сохранения: 23 сентября 2026 года. Источник: датасет, предоставленный командой в этой беседе.</w:t>
      </w:r>
    </w:p>
    <w:p>
      <w:r>
        <w:t>Документ содержит исходные показатели пяти районов, каталог из четырнадцати мероприятий, правила допустимости сценария и формулу Astana Quality of Life Score. Числовые примеры независимо пересчитаны по приведённым данным.</w:t>
      </w:r>
    </w:p>
    <w:p>
      <w:r>
        <w:t>Бюджет — 100 условных единиц. Сценарий состоит ровно из пяти решений. Горизонт симуляции — 8 кварталов, или два условных года. Данные описывают учебную модель города.</w:t>
      </w:r>
    </w:p>
    <w:p>
      <w:pPr>
        <w:pStyle w:val="Heading2"/>
      </w:pPr>
      <w:r>
        <w:t>Шкала и показатели</w:t>
      </w:r>
    </w:p>
    <w:p>
      <w:r>
        <w:t>Все показатели имеют шкалу от 0 до 100; большее значение означает лучшее состояние. Пробки, смог и другие отрицательные явления уже переведены в эту шкалу: 100 означает отсутствие проблемы либо полное достижение указанного норматива.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417"/>
        <w:gridCol w:w="2778"/>
        <w:gridCol w:w="4876"/>
      </w:tblGrid>
      <w:tr>
        <w:trPr>
          <w:cantSplit/>
          <w:tblHeader/>
        </w:trPr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DF2"/>
          </w:tcPr>
          <w:p>
            <w:pPr>
              <w:spacing w:after="0" w:line="247" w:lineRule="auto"/>
            </w:pPr>
            <w:r>
              <w:rPr>
                <w:b/>
                <w:sz w:val="18"/>
              </w:rPr>
              <w:t>Код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DF2"/>
          </w:tcPr>
          <w:p>
            <w:pPr>
              <w:spacing w:after="0" w:line="247" w:lineRule="auto"/>
            </w:pPr>
            <w:r>
              <w:rPr>
                <w:b/>
                <w:sz w:val="18"/>
              </w:rPr>
              <w:t>Направление</w:t>
            </w:r>
          </w:p>
        </w:tc>
        <w:tc>
          <w:tcPr>
            <w:tcW w:type="dxa" w:w="277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DF2"/>
          </w:tcPr>
          <w:p>
            <w:pPr>
              <w:spacing w:after="0" w:line="247" w:lineRule="auto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DF2"/>
          </w:tcPr>
          <w:p>
            <w:pPr>
              <w:spacing w:after="0" w:line="247" w:lineRule="auto"/>
            </w:pPr>
            <w:r>
              <w:rPr>
                <w:b/>
                <w:sz w:val="18"/>
              </w:rPr>
              <w:t>Значение шкалы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T1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Транспорт</w:t>
            </w:r>
          </w:p>
        </w:tc>
        <w:tc>
          <w:tcPr>
            <w:tcW w:type="dxa" w:w="277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Разгрузка дорог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100 — нет пробок в час пик; 0 — стоит всё.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T2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Транспорт</w:t>
            </w:r>
          </w:p>
        </w:tc>
        <w:tc>
          <w:tcPr>
            <w:tcW w:type="dxa" w:w="277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Доступность общественного транспорта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100 — все жители в 500 м от остановки с интервалом не более 10 минут.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E1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Экология</w:t>
            </w:r>
          </w:p>
        </w:tc>
        <w:tc>
          <w:tcPr>
            <w:tcW w:type="dxa" w:w="277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Озеленение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100 — не менее 20 м² зелени на жителя.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E2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Экология</w:t>
            </w:r>
          </w:p>
        </w:tc>
        <w:tc>
          <w:tcPr>
            <w:tcW w:type="dxa" w:w="277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Качество воздуха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100 — зимой AQI не выше 50; 0 — хронический смог.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S1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Соцсфера</w:t>
            </w:r>
          </w:p>
        </w:tc>
        <w:tc>
          <w:tcPr>
            <w:tcW w:type="dxa" w:w="277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Школы и детсады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100 — обеспечено 100% нормативной потребности, без второй смены.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S2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Соцсфера</w:t>
            </w:r>
          </w:p>
        </w:tc>
        <w:tc>
          <w:tcPr>
            <w:tcW w:type="dxa" w:w="277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Поликлиники и первичная медпомощь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100 — норматив на жителя выполнен полностью.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B1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Безопасность</w:t>
            </w:r>
          </w:p>
        </w:tc>
        <w:tc>
          <w:tcPr>
            <w:tcW w:type="dxa" w:w="277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Безопасность улиц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100 — освещение и камеры везде, минимум происшествий.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B2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Безопасность</w:t>
            </w:r>
          </w:p>
        </w:tc>
        <w:tc>
          <w:tcPr>
            <w:tcW w:type="dxa" w:w="277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Безопасность дорожного движения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100 — минимум ДТП с пострадавшими.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C1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Сервисы</w:t>
            </w:r>
          </w:p>
        </w:tc>
        <w:tc>
          <w:tcPr>
            <w:tcW w:type="dxa" w:w="277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Надёжность ЖКХ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100 — нет аварий отопления и воды за год.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C2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Сервисы</w:t>
            </w:r>
          </w:p>
        </w:tc>
        <w:tc>
          <w:tcPr>
            <w:tcW w:type="dxa" w:w="277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Скорость решения обращений жителей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100 — все обращения закрыты в срок.</w:t>
            </w:r>
          </w:p>
        </w:tc>
      </w:tr>
    </w:tbl>
    <w:p>
      <w:pPr>
        <w:spacing w:after="0" w:before="0" w:line="60" w:lineRule="exact"/>
      </w:pPr>
    </w:p>
    <w:p>
      <w:r>
        <w:br w:type="page"/>
      </w:r>
    </w:p>
    <w:p>
      <w:pPr>
        <w:pStyle w:val="Heading1"/>
      </w:pPr>
      <w:r>
        <w:t>Исходные значения и веса</w:t>
      </w:r>
    </w:p>
    <w:p>
      <w:pPr>
        <w:pStyle w:val="Heading2"/>
      </w:pPr>
      <w:r>
        <w:t>Показатели районов</w:t>
      </w:r>
    </w:p>
    <w:p>
      <w:r>
        <w:t>В колонке «Доля» указана доля населения района. Сумма долей равна 1,00. Итог D рассчитан с весами показателей, приведёнными ниже.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79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1361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</w:pPr>
            <w:r>
              <w:rPr>
                <w:b/>
                <w:sz w:val="17"/>
              </w:rPr>
              <w:t>Район</w:t>
            </w:r>
          </w:p>
        </w:tc>
        <w:tc>
          <w:tcPr>
            <w:tcW w:type="dxa" w:w="79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Доля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T1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T2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E1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E2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B1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B2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C1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C2</w:t>
            </w:r>
          </w:p>
        </w:tc>
        <w:tc>
          <w:tcPr>
            <w:tcW w:type="dxa" w:w="13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Есиль</w:t>
            </w:r>
          </w:p>
        </w:tc>
        <w:tc>
          <w:tcPr>
            <w:tcW w:type="dxa" w:w="79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0,27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45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62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68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72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48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55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78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75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70</w:t>
            </w:r>
          </w:p>
        </w:tc>
        <w:tc>
          <w:tcPr>
            <w:tcW w:type="dxa" w:w="13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62,99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Алматы</w:t>
            </w:r>
          </w:p>
        </w:tc>
        <w:tc>
          <w:tcPr>
            <w:tcW w:type="dxa" w:w="79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0,24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75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55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65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62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52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13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57,06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Сарыарка</w:t>
            </w:r>
          </w:p>
        </w:tc>
        <w:tc>
          <w:tcPr>
            <w:tcW w:type="dxa" w:w="79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0,20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70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42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62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68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58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55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45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55</w:t>
            </w:r>
          </w:p>
        </w:tc>
        <w:tc>
          <w:tcPr>
            <w:tcW w:type="dxa" w:w="13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54,65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Байконур</w:t>
            </w:r>
          </w:p>
        </w:tc>
        <w:tc>
          <w:tcPr>
            <w:tcW w:type="dxa" w:w="79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0,13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52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68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55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58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52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58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55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58</w:t>
            </w:r>
          </w:p>
        </w:tc>
        <w:tc>
          <w:tcPr>
            <w:tcW w:type="dxa" w:w="13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56,63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Нура</w:t>
            </w:r>
          </w:p>
        </w:tc>
        <w:tc>
          <w:tcPr>
            <w:tcW w:type="dxa" w:w="79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0,16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55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45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65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38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35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55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6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13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49,18</w:t>
            </w:r>
          </w:p>
        </w:tc>
      </w:tr>
    </w:tbl>
    <w:p>
      <w:pPr>
        <w:spacing w:after="0" w:before="0" w:line="60" w:lineRule="exact"/>
      </w:pPr>
    </w:p>
    <w:p>
      <w:pPr>
        <w:pStyle w:val="Heading2"/>
      </w:pPr>
      <w:r>
        <w:t>Условные профили районов</w:t>
      </w:r>
    </w:p>
    <w:p>
      <w:pPr>
        <w:pStyle w:val="ListBullet"/>
      </w:pPr>
      <w:r>
        <w:t>Есиль — богатый район с пробками на мостах и переполненными школами.</w:t>
      </w:r>
    </w:p>
    <w:p>
      <w:pPr>
        <w:pStyle w:val="ListBullet"/>
      </w:pPr>
      <w:r>
        <w:t>Алматы — старое ЖКХ и пробки.</w:t>
      </w:r>
    </w:p>
    <w:p>
      <w:pPr>
        <w:pStyle w:val="ListBullet"/>
      </w:pPr>
      <w:r>
        <w:t>Сарыарка — смог от частного сектора и слабое озеленение.</w:t>
      </w:r>
    </w:p>
    <w:p>
      <w:pPr>
        <w:pStyle w:val="ListBullet"/>
      </w:pPr>
      <w:r>
        <w:t>Байконур — середняк без ярких перекосов.</w:t>
      </w:r>
    </w:p>
    <w:p>
      <w:pPr>
        <w:pStyle w:val="ListBullet"/>
      </w:pPr>
      <w:r>
        <w:t>Нура — главный аутсайдер по социальной сфере и транспорту.</w:t>
      </w:r>
    </w:p>
    <w:p>
      <w:pPr>
        <w:pStyle w:val="Heading2"/>
      </w:pPr>
      <w:r>
        <w:t>Веса показателей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</w:pP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8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T1</w:t>
            </w:r>
          </w:p>
        </w:tc>
        <w:tc>
          <w:tcPr>
            <w:tcW w:type="dxa" w:w="8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T2</w:t>
            </w:r>
          </w:p>
        </w:tc>
        <w:tc>
          <w:tcPr>
            <w:tcW w:type="dxa" w:w="8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E1</w:t>
            </w:r>
          </w:p>
        </w:tc>
        <w:tc>
          <w:tcPr>
            <w:tcW w:type="dxa" w:w="8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E2</w:t>
            </w:r>
          </w:p>
        </w:tc>
        <w:tc>
          <w:tcPr>
            <w:tcW w:type="dxa" w:w="8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S1</w:t>
            </w:r>
          </w:p>
        </w:tc>
        <w:tc>
          <w:tcPr>
            <w:tcW w:type="dxa" w:w="8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S2</w:t>
            </w:r>
          </w:p>
        </w:tc>
        <w:tc>
          <w:tcPr>
            <w:tcW w:type="dxa" w:w="8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B1</w:t>
            </w:r>
          </w:p>
        </w:tc>
        <w:tc>
          <w:tcPr>
            <w:tcW w:type="dxa" w:w="8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B2</w:t>
            </w:r>
          </w:p>
        </w:tc>
        <w:tc>
          <w:tcPr>
            <w:tcW w:type="dxa" w:w="8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C1</w:t>
            </w:r>
          </w:p>
        </w:tc>
        <w:tc>
          <w:tcPr>
            <w:tcW w:type="dxa" w:w="8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C2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Вес</w:t>
            </w:r>
          </w:p>
        </w:tc>
        <w:tc>
          <w:tcPr>
            <w:tcW w:type="dxa" w:w="8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0,10</w:t>
            </w:r>
          </w:p>
        </w:tc>
        <w:tc>
          <w:tcPr>
            <w:tcW w:type="dxa" w:w="8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0,10</w:t>
            </w:r>
          </w:p>
        </w:tc>
        <w:tc>
          <w:tcPr>
            <w:tcW w:type="dxa" w:w="8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0,09</w:t>
            </w:r>
          </w:p>
        </w:tc>
        <w:tc>
          <w:tcPr>
            <w:tcW w:type="dxa" w:w="8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0,11</w:t>
            </w:r>
          </w:p>
        </w:tc>
        <w:tc>
          <w:tcPr>
            <w:tcW w:type="dxa" w:w="8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0,11</w:t>
            </w:r>
          </w:p>
        </w:tc>
        <w:tc>
          <w:tcPr>
            <w:tcW w:type="dxa" w:w="8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0,11</w:t>
            </w:r>
          </w:p>
        </w:tc>
        <w:tc>
          <w:tcPr>
            <w:tcW w:type="dxa" w:w="8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0,09</w:t>
            </w:r>
          </w:p>
        </w:tc>
        <w:tc>
          <w:tcPr>
            <w:tcW w:type="dxa" w:w="8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0,09</w:t>
            </w:r>
          </w:p>
        </w:tc>
        <w:tc>
          <w:tcPr>
            <w:tcW w:type="dxa" w:w="8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0,10</w:t>
            </w:r>
          </w:p>
        </w:tc>
        <w:tc>
          <w:tcPr>
            <w:tcW w:type="dxa" w:w="8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0,10</w:t>
            </w:r>
          </w:p>
        </w:tc>
      </w:tr>
    </w:tbl>
    <w:p>
      <w:pPr>
        <w:spacing w:after="0" w:before="0" w:line="60" w:lineRule="exact"/>
      </w:pPr>
    </w:p>
    <w:p>
      <w:r>
        <w:t>Сумма весов равна 1,00. По направлениям: транспорт — 0,20; экология — 0,20; соцсфера — 0,22; безопасность — 0,18; сервисы — 0,20.</w:t>
      </w:r>
    </w:p>
    <w:p>
      <w:pPr>
        <w:pStyle w:val="Heading2"/>
      </w:pPr>
      <w:r>
        <w:t>Проверка исходного состояния</w:t>
      </w:r>
    </w:p>
    <w:p>
      <w:pPr>
        <w:pStyle w:val="ListBullet"/>
      </w:pPr>
      <w:r>
        <w:t>Все пять значений D в таблице совпадают с независимым пересчётом.</w:t>
      </w:r>
    </w:p>
    <w:p>
      <w:pPr>
        <w:pStyle w:val="ListBullet"/>
      </w:pPr>
      <w:r>
        <w:t>Средневзвешенная оценка города D_avg = 56,8624.</w:t>
      </w:r>
    </w:p>
    <w:p>
      <w:pPr>
        <w:pStyle w:val="ListBullet"/>
      </w:pPr>
      <w:r>
        <w:t>Минимальная оценка района — 49,18 у Нуры.</w:t>
      </w:r>
    </w:p>
    <w:p>
      <w:pPr>
        <w:pStyle w:val="ListBullet"/>
      </w:pPr>
      <w:r>
        <w:t>Два критических значения: S1 = 38 и S2 = 35 в Нуре. Значение ровно 40 не является критическим.</w:t>
      </w:r>
    </w:p>
    <w:p>
      <w:pPr>
        <w:pStyle w:val="ListBullet"/>
      </w:pPr>
      <w:r>
        <w:t>Базовый Score = 0,7 × 56,8624 + 0,3 × 49,18 − 2 = 52,55768.</w:t>
      </w:r>
    </w:p>
    <w:p>
      <w:r>
        <w:t>При округлении до двух знаков базовый Score равен 52,56, как указано в исходном датасете.</w:t>
      </w:r>
    </w:p>
    <w:p>
      <w:r>
        <w:br w:type="page"/>
      </w:r>
    </w:p>
    <w:p>
      <w:pPr>
        <w:pStyle w:val="Heading1"/>
      </w:pPr>
      <w:r>
        <w:t>Каталог мероприятий</w:t>
      </w:r>
    </w:p>
    <w:p>
      <w:r>
        <w:t>«Район» означает выбор одного района и применение эффекта только к нему. «Город» означает применение эффекта ко всем пяти районам; район в решении не указывается.</w:t>
      </w:r>
    </w:p>
    <w:p>
      <w:r>
        <w:t>В таблице указаны полные эффекты. Каждый из них, включая отрицательный, умножается на (8 − L) / 8, где L — лаг в кварталах. Стоимость фиксирована и оплачивается один раз за выбранное мероприятие.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"/>
        <w:gridCol w:w="1304"/>
        <w:gridCol w:w="2665"/>
        <w:gridCol w:w="794"/>
        <w:gridCol w:w="567"/>
        <w:gridCol w:w="454"/>
        <w:gridCol w:w="3345"/>
      </w:tblGrid>
      <w:tr>
        <w:trPr>
          <w:cantSplit/>
          <w:tblHeader/>
        </w:trPr>
        <w:tc>
          <w:tcPr>
            <w:tcW w:type="dxa" w:w="51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DF2"/>
          </w:tcPr>
          <w:p>
            <w:pPr>
              <w:spacing w:after="0" w:line="247" w:lineRule="auto"/>
            </w:pPr>
            <w:r>
              <w:rPr>
                <w:b/>
                <w:sz w:val="17"/>
              </w:rPr>
              <w:t>Направление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DF2"/>
          </w:tcPr>
          <w:p>
            <w:pPr>
              <w:spacing w:after="0" w:line="247" w:lineRule="auto"/>
            </w:pPr>
            <w:r>
              <w:rPr>
                <w:b/>
                <w:sz w:val="17"/>
              </w:rPr>
              <w:t>Мероприятие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Тип</w:t>
            </w:r>
          </w:p>
        </w:tc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Цена</w:t>
            </w:r>
          </w:p>
        </w:tc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7"/>
              </w:rPr>
              <w:t>L</w:t>
            </w:r>
          </w:p>
        </w:tc>
        <w:tc>
          <w:tcPr>
            <w:tcW w:type="dxa" w:w="334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DF2"/>
          </w:tcPr>
          <w:p>
            <w:pPr>
              <w:spacing w:after="0" w:line="247" w:lineRule="auto"/>
            </w:pPr>
            <w:r>
              <w:rPr>
                <w:b/>
                <w:sz w:val="17"/>
              </w:rPr>
              <w:t>Полные эффекты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M1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Транспорт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Выделенные полосы для автобусов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Район</w:t>
            </w:r>
          </w:p>
        </w:tc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34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T1 +6; T2 +9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M2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Транспорт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Умные светофоры с адаптивным управлением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Город</w:t>
            </w:r>
          </w:p>
        </w:tc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34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T1 +4; B2 +3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M3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Транспорт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Линия ЛРТ или её расширение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Район</w:t>
            </w:r>
          </w:p>
        </w:tc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34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T1 +16; T2 +20; E2 +4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M4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Экология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Парк или сквер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Район</w:t>
            </w:r>
          </w:p>
        </w:tc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34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E1 +12; E2 +3; B1 +2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M5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Экология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Перевод частного сектора на чистое топливо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Район</w:t>
            </w:r>
          </w:p>
        </w:tc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34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E2 +14; C1 +4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M6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Экология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Городская программа озеленения и ветрозащитных полос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Город</w:t>
            </w:r>
          </w:p>
        </w:tc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34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E1 +5; E2 +3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M7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Соцсфера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Школа и детсад с модульным строительством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Район</w:t>
            </w:r>
          </w:p>
        </w:tc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34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S1 +16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M8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Соцсфера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Центр семейного здоровья или поликлиника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Район</w:t>
            </w:r>
          </w:p>
        </w:tc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34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S2 +14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M9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Соцсфера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Дворовые спорт-хабы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Район</w:t>
            </w:r>
          </w:p>
        </w:tc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34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S1 +3; S2 +3; B1 +3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M10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Безопасность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Освещение и камеры с расширением Safe City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Район</w:t>
            </w:r>
          </w:p>
        </w:tc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34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B1 +12; B2 +2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M11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Безопасность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Безопасные переходы и школьные зоны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Район</w:t>
            </w:r>
          </w:p>
        </w:tc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34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B2 +12; T1 −2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M12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Сервисы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Единая цифровая платформа обращений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Город</w:t>
            </w:r>
          </w:p>
        </w:tc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34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C2 +5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M13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Сервисы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Модернизация тепло- и водосетей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Район</w:t>
            </w:r>
          </w:p>
        </w:tc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28</w:t>
            </w:r>
          </w:p>
        </w:tc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34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C1 +18; E2 +2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M14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Сервисы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Аварийные бригады ЖКХ и раннее оповещение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Город</w:t>
            </w:r>
          </w:p>
        </w:tc>
        <w:tc>
          <w:tcPr>
            <w:tcW w:type="dxa" w:w="56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34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7"/>
              </w:rPr>
              <w:t>C1 +5; C2 +2</w:t>
            </w:r>
          </w:p>
        </w:tc>
      </w:tr>
    </w:tbl>
    <w:p>
      <w:pPr>
        <w:spacing w:after="0" w:before="0" w:line="60" w:lineRule="exact"/>
      </w:pPr>
    </w:p>
    <w:p>
      <w:r>
        <w:t>Лаги 1, 2, 3 и 4 квартала соответствуют долям реализованного эффекта 0,875; 0,75; 0,625 и 0,5. Эти доли не изменяют стоимость мероприятий.</w:t>
      </w:r>
    </w:p>
    <w:p>
      <w:r>
        <w:br w:type="page"/>
      </w:r>
    </w:p>
    <w:p>
      <w:pPr>
        <w:pStyle w:val="Heading1"/>
      </w:pPr>
      <w:r>
        <w:t>Ограничения и расчёт Score</w:t>
      </w:r>
    </w:p>
    <w:p>
      <w:pPr>
        <w:pStyle w:val="Heading2"/>
      </w:pPr>
      <w:r>
        <w:t>Правила допустимости</w:t>
      </w:r>
    </w:p>
    <w:p>
      <w:r>
        <w:t>1. Общая стоимость не превышает 100 условных единиц. Остаток не сгорает и не даёт бонуса.</w:t>
      </w:r>
    </w:p>
    <w:p>
      <w:r>
        <w:t>2. Выбрано ровно пять мероприятий; каждое можно выбрать максимум один раз, даже для другого района.</w:t>
      </w:r>
    </w:p>
    <w:p>
      <w:r>
        <w:t>3. Для районного мероприятия район обязателен; для городского район не указывается.</w:t>
      </w:r>
    </w:p>
    <w:p>
      <w:r>
        <w:t>4. Допускается не более двух мероприятий одного направления. При пяти решениях будут охвачены от трёх до пяти направлений.</w:t>
      </w:r>
    </w:p>
    <w:p>
      <w:r>
        <w:t>5. Должны соблюдаться все несовместимости. Для невалидного набора Score не рассчитывается, а валидатор возвращает причину.</w:t>
      </w:r>
    </w:p>
    <w:p>
      <w:r>
        <w:t>6. Порядок решений не влияет на допустимость и результат.</w:t>
      </w:r>
    </w:p>
    <w:p>
      <w:pPr>
        <w:pStyle w:val="Heading2"/>
      </w:pPr>
      <w:r>
        <w:t>Синергии</w:t>
      </w:r>
    </w:p>
    <w:p>
      <w:r>
        <w:t>Бонус применяется один раз при наличии обеих мер. Он фиксирован и не масштабируется лагом. «Первая мера пары» означает указанную ниже меру, независимо от порядка выбора игроком.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2268"/>
        <w:gridCol w:w="5272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DF2"/>
          </w:tcPr>
          <w:p>
            <w:pPr>
              <w:spacing w:after="0" w:line="247" w:lineRule="auto"/>
            </w:pPr>
            <w:r>
              <w:rPr>
                <w:b/>
                <w:sz w:val="18"/>
              </w:rPr>
              <w:t>Пара</w:t>
            </w:r>
          </w:p>
        </w:tc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DF2"/>
          </w:tcPr>
          <w:p>
            <w:pPr>
              <w:spacing w:after="0" w:line="247" w:lineRule="auto"/>
            </w:pPr>
            <w:r>
              <w:rPr>
                <w:b/>
                <w:sz w:val="18"/>
              </w:rPr>
              <w:t>Бонус</w:t>
            </w:r>
          </w:p>
        </w:tc>
        <w:tc>
          <w:tcPr>
            <w:tcW w:type="dxa" w:w="527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DF2"/>
          </w:tcPr>
          <w:p>
            <w:pPr>
              <w:spacing w:after="0" w:line="247" w:lineRule="auto"/>
            </w:pPr>
            <w:r>
              <w:rPr>
                <w:b/>
                <w:sz w:val="18"/>
              </w:rPr>
              <w:t>Район применения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M1 + M2</w:t>
            </w:r>
          </w:p>
        </w:tc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T1 +2</w:t>
            </w:r>
          </w:p>
        </w:tc>
        <w:tc>
          <w:tcPr>
            <w:tcW w:type="dxa" w:w="527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Район, выбранный для M1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M10 + M12</w:t>
            </w:r>
          </w:p>
        </w:tc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B1 +2</w:t>
            </w:r>
          </w:p>
        </w:tc>
        <w:tc>
          <w:tcPr>
            <w:tcW w:type="dxa" w:w="527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Район, выбранный для M10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M5 + M6</w:t>
            </w:r>
          </w:p>
        </w:tc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E2 +2</w:t>
            </w:r>
          </w:p>
        </w:tc>
        <w:tc>
          <w:tcPr>
            <w:tcW w:type="dxa" w:w="527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Район, выбранный для M5</w:t>
            </w:r>
          </w:p>
        </w:tc>
      </w:tr>
    </w:tbl>
    <w:p>
      <w:pPr>
        <w:spacing w:after="0" w:before="0" w:line="60" w:lineRule="exact"/>
      </w:pPr>
    </w:p>
    <w:p>
      <w:pPr>
        <w:pStyle w:val="Heading2"/>
      </w:pPr>
      <w:r>
        <w:t>Несовместимости</w:t>
      </w:r>
    </w:p>
    <w:p>
      <w:pPr>
        <w:pStyle w:val="ListBullet"/>
      </w:pPr>
      <w:r>
        <w:t>M1 и M3 нельзя выбирать вместе независимо от районов: либо BRT, либо ЛРТ.</w:t>
      </w:r>
    </w:p>
    <w:p>
      <w:pPr>
        <w:pStyle w:val="ListBullet"/>
      </w:pPr>
      <w:r>
        <w:t>M4 и M7 нельзя выбирать для одного района из-за конфликта за участок.</w:t>
      </w:r>
    </w:p>
    <w:p>
      <w:pPr>
        <w:pStyle w:val="ListBullet"/>
      </w:pPr>
      <w:r>
        <w:t>M5 и M13 нельзя выбирать для одного района из-за дублирования программы.</w:t>
      </w:r>
    </w:p>
    <w:p>
      <w:pPr>
        <w:pStyle w:val="Heading2"/>
      </w:pPr>
      <w:r>
        <w:t>Порядок расчёта</w:t>
      </w:r>
    </w:p>
    <w:p>
      <w:r>
        <w:t>Сначала проверяется допустимость всего набора. Далее для каждой пары «район d × показатель k» суммируются эффекты применимых мер с учётом лага и синергии:</w:t>
      </w:r>
    </w:p>
    <w:p>
      <w:r>
        <w:t>I′_dk = clip(I_dk + Σ[эффект_m,k × (8 − L_m) / 8] + синергии, 0, 100)</w:t>
      </w:r>
    </w:p>
    <w:p>
      <w:r>
        <w:t>Оценка района: D_d = Σ[w_k × I′_dk]. Средневзвешенная оценка города: D_avg = Σ[pop_d × D_d].</w:t>
      </w:r>
    </w:p>
    <w:p>
      <w:r>
        <w:t>Score = 0,7 × D_avg + 0,3 × min(D_d) − 1,0 × N_crit</w:t>
      </w:r>
    </w:p>
    <w:p>
      <w:r>
        <w:t>N_crit — число пар «район × показатель» со значением строго меньше 40 после всех эффектов и ограничения диапазона. За каждую такую пару вычитается один балл.</w:t>
      </w:r>
    </w:p>
    <w:p>
      <w:r>
        <w:t>Общий результат города получает вес 70%, самый слабый район — 30%. Штраф учитывает оставшиеся критические значения. Ограничение clip применяется к показателям; отдельное ограничение диапазона итогового Score в правилах не задано.</w:t>
      </w:r>
    </w:p>
    <w:p>
      <w:r>
        <w:br w:type="page"/>
      </w:r>
    </w:p>
    <w:p>
      <w:pPr>
        <w:pStyle w:val="Heading1"/>
      </w:pPr>
      <w:r>
        <w:t>Контрольные примеры и выводы</w:t>
      </w:r>
    </w:p>
    <w:p>
      <w:pPr>
        <w:pStyle w:val="Heading2"/>
      </w:pPr>
      <w:r>
        <w:t>Пример допустимого сценария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4"/>
        <w:gridCol w:w="1304"/>
        <w:gridCol w:w="5329"/>
        <w:gridCol w:w="1701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DF2"/>
          </w:tcPr>
          <w:p>
            <w:pPr>
              <w:spacing w:after="0" w:line="247" w:lineRule="auto"/>
            </w:pPr>
            <w:r>
              <w:rPr>
                <w:b/>
                <w:sz w:val="18"/>
              </w:rPr>
              <w:t>Мера</w:t>
            </w:r>
          </w:p>
        </w:tc>
        <w:tc>
          <w:tcPr>
            <w:tcW w:type="dxa" w:w="532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DF2"/>
          </w:tcPr>
          <w:p>
            <w:pPr>
              <w:spacing w:after="0" w:line="247" w:lineRule="auto"/>
            </w:pPr>
            <w:r>
              <w:rPr>
                <w:b/>
                <w:sz w:val="18"/>
              </w:rPr>
              <w:t>Район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Стоимость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M7</w:t>
            </w:r>
          </w:p>
        </w:tc>
        <w:tc>
          <w:tcPr>
            <w:tcW w:type="dxa" w:w="532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Нура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M8</w:t>
            </w:r>
          </w:p>
        </w:tc>
        <w:tc>
          <w:tcPr>
            <w:tcW w:type="dxa" w:w="532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Нура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M10</w:t>
            </w:r>
          </w:p>
        </w:tc>
        <w:tc>
          <w:tcPr>
            <w:tcW w:type="dxa" w:w="532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Нура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M12</w:t>
            </w:r>
          </w:p>
        </w:tc>
        <w:tc>
          <w:tcPr>
            <w:tcW w:type="dxa" w:w="532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Весь город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M5</w:t>
            </w:r>
          </w:p>
        </w:tc>
        <w:tc>
          <w:tcPr>
            <w:tcW w:type="dxa" w:w="532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Сарыарка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8"/>
              </w:rPr>
              <w:t>25</w:t>
            </w:r>
          </w:p>
        </w:tc>
      </w:tr>
    </w:tbl>
    <w:p>
      <w:pPr>
        <w:spacing w:after="0" w:before="0" w:line="60" w:lineRule="exact"/>
      </w:pPr>
    </w:p>
    <w:p>
      <w:r>
        <w:t>Стоимость — 95, остаток бюджета — 5. Направления: две меры соцсферы, одна безопасности, одна сервисов и одна экологии. Повторов и несовместимостей нет. Срабатывает синергия M10 + M12: B1 +2 в Нуре.</w:t>
      </w:r>
    </w:p>
    <w:p>
      <w:r>
        <w:t>После учёта лага Нура получает S1 +10, S2 +8,75, B1 +10,5 и B2 +1,75; синергия добавляет ещё B1 +2. Сарыарка получает E2 +8,75 и C1 +2,5. Каждый район получает C2 +4,375 от M12.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95"/>
        <w:gridCol w:w="2721"/>
        <w:gridCol w:w="2721"/>
      </w:tblGrid>
      <w:tr>
        <w:trPr>
          <w:cantSplit/>
          <w:tblHeader/>
        </w:trPr>
        <w:tc>
          <w:tcPr>
            <w:tcW w:type="dxa" w:w="419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DF2"/>
          </w:tcPr>
          <w:p>
            <w:pPr>
              <w:spacing w:after="0" w:line="247" w:lineRule="auto"/>
            </w:pPr>
            <w:r>
              <w:rPr>
                <w:b/>
                <w:sz w:val="18"/>
              </w:rPr>
              <w:t>Район</w:t>
            </w:r>
          </w:p>
        </w:tc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D до</w:t>
            </w:r>
          </w:p>
        </w:tc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DF2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D после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Есиль</w:t>
            </w:r>
          </w:p>
        </w:tc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8"/>
              </w:rPr>
              <w:t>62,99</w:t>
            </w:r>
          </w:p>
        </w:tc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8"/>
              </w:rPr>
              <w:t>63,42750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Алматы</w:t>
            </w:r>
          </w:p>
        </w:tc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8"/>
              </w:rPr>
              <w:t>57,06</w:t>
            </w:r>
          </w:p>
        </w:tc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8"/>
              </w:rPr>
              <w:t>57,49750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Сарыарка</w:t>
            </w:r>
          </w:p>
        </w:tc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8"/>
              </w:rPr>
              <w:t>54,65</w:t>
            </w:r>
          </w:p>
        </w:tc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8"/>
              </w:rPr>
              <w:t>56,30000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Байконур</w:t>
            </w:r>
          </w:p>
        </w:tc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8"/>
              </w:rPr>
              <w:t>56,63</w:t>
            </w:r>
          </w:p>
        </w:tc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9FB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8"/>
              </w:rPr>
              <w:t>57,06750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8"/>
              </w:rPr>
              <w:t>Нура</w:t>
            </w:r>
          </w:p>
        </w:tc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8"/>
              </w:rPr>
              <w:t>49,18</w:t>
            </w:r>
          </w:p>
        </w:tc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8"/>
              </w:rPr>
              <w:t>52,96250</w:t>
            </w:r>
          </w:p>
        </w:tc>
      </w:tr>
    </w:tbl>
    <w:p>
      <w:pPr>
        <w:spacing w:after="0" w:before="0" w:line="60" w:lineRule="exact"/>
      </w:pPr>
    </w:p>
    <w:p>
      <w:r>
        <w:t>D_avg = 58,0776; минимальный D = 52,9625; N_crit = 0. В Нуре S1 становится 48, а S2 — 43,75, поэтому оба исходных штрафа исчезают.</w:t>
      </w:r>
    </w:p>
    <w:p>
      <w:r>
        <w:t>Score = 56,54307, или 56,54 при отображении двух знаков. Прирост к базе — 3,98539, или 3,99. Это согласуется с примером «примерно 56,5 и +4,0» в исходном тексте.</w:t>
      </w:r>
    </w:p>
    <w:p>
      <w:r>
        <w:t>Самый дешёвый допустимый набор M9 + M11 + M10 + M12 + M4 стоит 61. Он содержит пять уникальных мер, не более двух из одного направления и ни одной несовместимой пары. Для районных мер требуется указать районы; стоимость от этого не меняется. Это пять самых дешёвых мероприятий каталога, поэтому меньшая стоимость пяти разных мер невозможна.</w:t>
      </w:r>
    </w:p>
    <w:p>
      <w:pPr>
        <w:pStyle w:val="Heading2"/>
      </w:pPr>
      <w:r>
        <w:t>Роль AI и детали реализации</w:t>
      </w:r>
    </w:p>
    <w:p>
      <w:r>
        <w:t>LLM получает рассчитанные изменения по районам и показателям и вклад мероприятий, объясняет результат, сравнивает наборы и предлагает улучшения. Числа рассчитываются кодом; AI не придумывает их.</w:t>
      </w:r>
    </w:p>
    <w:p>
      <w:r>
        <w:t>Формула и правила достаточны для реализации. Метод распределения вклада отдельных мер при синергиях в исходных данных не определён: его нужно выбрать отдельно. Это не мешает вычислять общий Score.</w:t>
      </w:r>
    </w:p>
    <w:p>
      <w:r>
        <w:t>Для приведённой проверки использована точная десятичная арифметика без промежуточного округления. Округление до двух знаков использовано только для отображения. Порог «меньше 40» следует проверять до округления.</w:t>
      </w:r>
    </w:p>
    <w:p>
      <w:r>
        <w:t>Новый набор правил отличается от раннего прототипа: пять районов вместо четырёх, десять показателей вместо пяти, фиксированные цены вместо произвольных сумм, бюджет 100, до двух мер на направление и новая формула Score. Текущий код требует отдельного обновления под эти правила.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0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Arial" w:hAnsi="Arial"/>
      <w:color w:val="000000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Датасет и правила симулятора Аким на 5 часов</dc:title>
  <dc:subject>Районы, мероприятия, ограничения и проверка Score</dc:subject>
  <dc:creator>ILON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