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00"/>
        </w:rPr>
        <w:t>УЧЕБНЫЙ ПРИМЕР ДЛЯ ПРОВЕРКИ АГЕНТА. Не является официальным документом какой-либо организации.</w:t>
      </w:r>
    </w:p>
    <w:p>
      <w:pPr>
        <w:pStyle w:val="Title"/>
      </w:pPr>
      <w:r>
        <w:t>Регламент реагирования диспетчера ВЭС «Нурлы» на прогноз выработки</w:t>
      </w:r>
    </w:p>
    <w:p>
      <w:r>
        <w:t>Редакция 1.0 · действует с 01.02.2026 · распространяется на ВЭС «Нурлы» (2 × 2,5 МВт).</w:t>
      </w:r>
    </w:p>
    <w:p>
      <w:pPr>
        <w:pStyle w:val="Heading1"/>
      </w:pPr>
      <w:r>
        <w:t>1. Пороги реагирования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Событие</w:t>
            </w:r>
          </w:p>
        </w:tc>
        <w:tc>
          <w:tcPr>
            <w:tcW w:type="dxa" w:w="2880"/>
          </w:tcPr>
          <w:p>
            <w:r>
              <w:t>Порог</w:t>
            </w:r>
          </w:p>
        </w:tc>
        <w:tc>
          <w:tcPr>
            <w:tcW w:type="dxa" w:w="2880"/>
          </w:tcPr>
          <w:p>
            <w:r>
              <w:t>Действие диспетчера</w:t>
            </w:r>
          </w:p>
        </w:tc>
      </w:tr>
      <w:tr>
        <w:tc>
          <w:tcPr>
            <w:tcW w:type="dxa" w:w="2880"/>
          </w:tcPr>
          <w:p>
            <w:r>
              <w:t>Резкое снижение выработки</w:t>
            </w:r>
          </w:p>
        </w:tc>
        <w:tc>
          <w:tcPr>
            <w:tcW w:type="dxa" w:w="2880"/>
          </w:tcPr>
          <w:p>
            <w:r>
              <w:t>более 30 % Pном станции (1,5 МВт) за 3 часа</w:t>
            </w:r>
          </w:p>
        </w:tc>
        <w:tc>
          <w:tcPr>
            <w:tcW w:type="dxa" w:w="2880"/>
          </w:tcPr>
          <w:p>
            <w:r>
              <w:t>уведомить системного оператора не позднее чем за 2 часа до начала окна</w:t>
            </w:r>
          </w:p>
        </w:tc>
      </w:tr>
      <w:tr>
        <w:tc>
          <w:tcPr>
            <w:tcW w:type="dxa" w:w="2880"/>
          </w:tcPr>
          <w:p>
            <w:r>
              <w:t>Резкий рост выработки</w:t>
            </w:r>
          </w:p>
        </w:tc>
        <w:tc>
          <w:tcPr>
            <w:tcW w:type="dxa" w:w="2880"/>
          </w:tcPr>
          <w:p>
            <w:r>
              <w:t>более 30 % Pном станции за 3 часа</w:t>
            </w:r>
          </w:p>
        </w:tc>
        <w:tc>
          <w:tcPr>
            <w:tcW w:type="dxa" w:w="2880"/>
          </w:tcPr>
          <w:p>
            <w:r>
              <w:t>уведомить системного оператора, проверить пропускную способность подстанции</w:t>
            </w:r>
          </w:p>
        </w:tc>
      </w:tr>
      <w:tr>
        <w:tc>
          <w:tcPr>
            <w:tcW w:type="dxa" w:w="2880"/>
          </w:tcPr>
          <w:p>
            <w:r>
              <w:t>Штиль</w:t>
            </w:r>
          </w:p>
        </w:tc>
        <w:tc>
          <w:tcPr>
            <w:tcW w:type="dxa" w:w="2880"/>
          </w:tcPr>
          <w:p>
            <w:r>
              <w:t>менее 5 % Pном 4 часа подряд и дольше</w:t>
            </w:r>
          </w:p>
        </w:tc>
        <w:tc>
          <w:tcPr>
            <w:tcW w:type="dxa" w:w="2880"/>
          </w:tcPr>
          <w:p>
            <w:r>
              <w:t>разрешено выводить турбину в ремонт</w:t>
            </w:r>
          </w:p>
        </w:tc>
      </w:tr>
      <w:tr>
        <w:tc>
          <w:tcPr>
            <w:tcW w:type="dxa" w:w="2880"/>
          </w:tcPr>
          <w:p>
            <w:r>
              <w:t>Сильный ветер</w:t>
            </w:r>
          </w:p>
        </w:tc>
        <w:tc>
          <w:tcPr>
            <w:tcW w:type="dxa" w:w="2880"/>
          </w:tcPr>
          <w:p>
            <w:r>
              <w:t>прогноз более 20 м/с или порывы более 25 м/с</w:t>
            </w:r>
          </w:p>
        </w:tc>
        <w:tc>
          <w:tcPr>
            <w:tcW w:type="dxa" w:w="2880"/>
          </w:tcPr>
          <w:p>
            <w:r>
              <w:t>запрет подъёма персонала на гондолу, подготовка к защитной остановке</w:t>
            </w:r>
          </w:p>
        </w:tc>
      </w:tr>
      <w:tr>
        <w:tc>
          <w:tcPr>
            <w:tcW w:type="dxa" w:w="2880"/>
          </w:tcPr>
          <w:p>
            <w:r>
              <w:t>Обледенение</w:t>
            </w:r>
          </w:p>
        </w:tc>
        <w:tc>
          <w:tcPr>
            <w:tcW w:type="dxa" w:w="2880"/>
          </w:tcPr>
          <w:p>
            <w:r>
              <w:t>температура ниже −5 °C при ветре более 6 м/с</w:t>
            </w:r>
          </w:p>
        </w:tc>
        <w:tc>
          <w:tcPr>
            <w:tcW w:type="dxa" w:w="2880"/>
          </w:tcPr>
          <w:p>
            <w:r>
              <w:t>усиленный контроль вибрации, осмотр лопастей после события</w:t>
            </w:r>
          </w:p>
        </w:tc>
      </w:tr>
    </w:tbl>
    <w:p>
      <w:pPr>
        <w:pStyle w:val="Heading1"/>
      </w:pPr>
      <w:r>
        <w:t>2. Плановые ремонты</w:t>
      </w:r>
    </w:p>
    <w:p>
      <w:r>
        <w:t>Плановый ремонт турбины допускается только в окна, где прогноз выработки станции не превышает 20 % Pном (1,0 МВт). Одновременный вывод обеих турбин запрещён. Длительность одного окна — не более 8 часов.</w:t>
      </w:r>
    </w:p>
    <w:p>
      <w:pPr>
        <w:pStyle w:val="Heading1"/>
      </w:pPr>
      <w:r>
        <w:t>3. Отчётность</w:t>
      </w:r>
    </w:p>
    <w:p>
      <w:r>
        <w:t>Ежедневно до 07:00 по Алматы диспетчер направляет сводку: ожидаемая энергия за сутки (МВт·ч), пик и минимум, окна рисков.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