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 функциях структурных подразделений</w:t>
      </w:r>
    </w:p>
    <w:p>
      <w:pPr>
        <w:pStyle w:val="Heading1"/>
      </w:pPr>
      <w:r>
        <w:t>1. Общие положения</w:t>
      </w:r>
    </w:p>
    <w:p>
      <w:pPr/>
      <w:r>
        <w:t>1.1. Настоящее Положение определяет состав подразделений и закреплённые за ними функции.</w:t>
      </w:r>
    </w:p>
    <w:p>
      <w:pPr/>
      <w:r>
        <w:t>1.2. Функции распространяются на все подразделения и процессы организации в пределах указанного предмета деятельности.</w:t>
      </w:r>
    </w:p>
    <w:p>
      <w:pPr>
        <w:pStyle w:val="Heading1"/>
      </w:pPr>
      <w:r>
        <w:t>2. Департамент внутреннего контроля</w:t>
      </w:r>
    </w:p>
    <w:p>
      <w:pPr/>
      <w:r>
        <w:t>2.1. Осуществляет мониторинг исполнения договорных обязательств.</w:t>
      </w:r>
    </w:p>
    <w:p>
      <w:pPr/>
      <w:r>
        <w:t>2.2. Контролирует соблюдение процедур закупок.</w:t>
      </w:r>
    </w:p>
    <w:p>
      <w:pPr/>
      <w:r>
        <w:t>2.3. Ведёт мониторинг выполнения корректирующих мероприятий.</w:t>
      </w:r>
    </w:p>
    <w:p>
      <w:pPr>
        <w:pStyle w:val="Heading1"/>
      </w:pPr>
      <w:r>
        <w:t>3. Департамент риск-менеджмента</w:t>
      </w:r>
    </w:p>
    <w:p>
      <w:pPr/>
      <w:r>
        <w:t>3.1. Выявляет и оценивает корпоративные риски.</w:t>
      </w:r>
    </w:p>
    <w:p>
      <w:pPr/>
      <w:r>
        <w:t>3.2. Контролирует выполнение мероприятий по управлению рисками.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функциях структурных подразделений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