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widowControl/>
        <w:spacing w:after="100"/>
        <w:jc w:val="center"/>
      </w:pPr>
      <w:r>
        <w:t>Протокол совещания</w:t>
      </w:r>
    </w:p>
    <w:p>
      <w:pPr>
        <w:keepNext/>
        <w:widowControl/>
        <w:spacing w:after="60"/>
        <w:jc w:val="center"/>
      </w:pPr>
      <w:r>
        <w:rPr>
          <w:rFonts w:ascii="Times New Roman" w:hAnsi="Times New Roman"/>
          <w:i/>
          <w:iCs/>
          <w:sz w:val="22"/>
        </w:rPr>
        <w:t>Учебная организация</w:t>
      </w:r>
    </w:p>
    <w:p>
      <w:pPr>
        <w:keepNext/>
        <w:widowControl/>
        <w:spacing w:after="300"/>
        <w:jc w:val="center"/>
      </w:pPr>
      <w:r>
        <w:rPr>
          <w:rFonts w:ascii="Times New Roman" w:hAnsi="Times New Roman"/>
          <w:b/>
          <w:bCs/>
          <w:sz w:val="22"/>
        </w:rPr>
        <w:t>Тема: Учебное совещание о запуске сервиса и обучении</w:t>
      </w:r>
    </w:p>
    <w:p>
      <w:pPr>
        <w:keepNext/>
        <w:widowControl/>
        <w:spacing w:after="120"/>
      </w:pPr>
      <w:r>
        <w:rPr>
          <w:rFonts w:ascii="Times New Roman" w:hAnsi="Times New Roman"/>
          <w:sz w:val="18"/>
        </w:rPr>
        <w:t>Дата совещания: 2026-09-23 · ЧЕРНОВИК · не утверждён</w:t>
      </w:r>
    </w:p>
    <w:p>
      <w:pPr>
        <w:pStyle w:val="Heading1"/>
        <w:keepNext/>
        <w:widowControl/>
        <w:spacing w:after="200" w:before="400"/>
      </w:pPr>
      <w:r>
        <w:t>Часть 1. Запуск сервиса</w:t>
      </w:r>
    </w:p>
    <w:p>
      <w:pPr>
        <w:keepNext/>
        <w:widowControl/>
        <w:spacing w:after="120" w:before="120"/>
      </w:pPr>
      <w:r>
        <w:rPr>
          <w:rFonts w:ascii="Times New Roman" w:hAnsi="Times New Roman"/>
          <w:b/>
          <w:sz w:val="22"/>
        </w:rPr>
        <w:t>Руководитель · 00:00</w:t>
      </w:r>
    </w:p>
    <w:p>
      <w:pPr>
        <w:keepNext w:val="0"/>
        <w:widowControl/>
        <w:spacing w:after="120"/>
      </w:pPr>
      <w:r>
        <w:rPr>
          <w:rFonts w:ascii="Times New Roman" w:hAnsi="Times New Roman"/>
          <w:sz w:val="22"/>
        </w:rPr>
        <w:t>Проводим учебное совещание. Координатор, проверьте сервис на тестовых данных к 25 сентября.</w:t>
      </w:r>
    </w:p>
    <w:p>
      <w:pPr>
        <w:keepNext/>
        <w:widowControl/>
        <w:spacing w:after="120" w:before="120"/>
      </w:pPr>
      <w:r>
        <w:rPr>
          <w:rFonts w:ascii="Times New Roman" w:hAnsi="Times New Roman"/>
          <w:b/>
          <w:sz w:val="22"/>
        </w:rPr>
        <w:t>Координатор · 00:10</w:t>
      </w:r>
    </w:p>
    <w:p>
      <w:pPr>
        <w:keepNext w:val="0"/>
        <w:widowControl/>
        <w:spacing w:after="120"/>
      </w:pPr>
      <w:r>
        <w:rPr>
          <w:rFonts w:ascii="Times New Roman" w:hAnsi="Times New Roman"/>
          <w:sz w:val="22"/>
        </w:rPr>
        <w:t>Подготовлю результат проверки к указанному сроку.</w:t>
      </w:r>
    </w:p>
    <w:p>
      <w:pPr>
        <w:pStyle w:val="Heading1"/>
        <w:keepNext/>
        <w:widowControl/>
        <w:spacing w:after="200" w:before="400"/>
      </w:pPr>
      <w:r>
        <w:t>Часть 2. Обучение сотрудников</w:t>
      </w:r>
    </w:p>
    <w:p>
      <w:pPr>
        <w:keepNext/>
        <w:widowControl/>
        <w:spacing w:after="120" w:before="120"/>
      </w:pPr>
      <w:r>
        <w:rPr>
          <w:rFonts w:ascii="Times New Roman" w:hAnsi="Times New Roman"/>
          <w:b/>
          <w:sz w:val="22"/>
        </w:rPr>
        <w:t>Руководитель · 00:16</w:t>
      </w:r>
    </w:p>
    <w:p>
      <w:pPr>
        <w:keepNext w:val="0"/>
        <w:widowControl/>
        <w:spacing w:after="120"/>
      </w:pPr>
      <w:r>
        <w:rPr>
          <w:rFonts w:ascii="Times New Roman" w:hAnsi="Times New Roman"/>
          <w:sz w:val="22"/>
        </w:rPr>
        <w:t>Перейдём к обучению. Специалист, подготовьте короткую инструкцию к 28 сентября.</w:t>
      </w:r>
    </w:p>
    <w:p>
      <w:pPr>
        <w:keepNext/>
        <w:widowControl/>
        <w:spacing w:after="120" w:before="120"/>
      </w:pPr>
      <w:r>
        <w:rPr>
          <w:rFonts w:ascii="Times New Roman" w:hAnsi="Times New Roman"/>
          <w:b/>
          <w:sz w:val="22"/>
        </w:rPr>
        <w:t>Специалист · 00:26</w:t>
      </w:r>
    </w:p>
    <w:p>
      <w:pPr>
        <w:keepNext w:val="0"/>
        <w:widowControl/>
        <w:spacing w:after="120"/>
      </w:pPr>
      <w:r>
        <w:rPr>
          <w:rFonts w:ascii="Times New Roman" w:hAnsi="Times New Roman"/>
          <w:sz w:val="22"/>
        </w:rPr>
        <w:t>Подготовлю инструкцию. Обучение проведём после проверки сервиса.</w:t>
      </w:r>
    </w:p>
    <w:p>
      <w:r>
        <w:br w:type="page"/>
      </w:r>
    </w:p>
    <w:p>
      <w:pPr>
        <w:pStyle w:val="Heading1"/>
        <w:keepNext/>
        <w:widowControl/>
        <w:spacing w:after="200" w:before="400"/>
      </w:pPr>
      <w:r>
        <w:t>Саммари по ключевым пунктам</w:t>
      </w:r>
    </w:p>
    <w:p>
      <w:pPr>
        <w:pStyle w:val="Heading2"/>
        <w:keepNext/>
        <w:widowControl/>
        <w:spacing w:after="120" w:before="400"/>
      </w:pPr>
      <w:r>
        <w:t>Тема 1. Запуск сервиса</w:t>
      </w:r>
    </w:p>
    <w:p>
      <w:pPr>
        <w:keepNext w:val="0"/>
        <w:widowControl/>
        <w:spacing w:after="120"/>
      </w:pPr>
      <w:r>
        <w:rPr>
          <w:rFonts w:ascii="Times New Roman" w:hAnsi="Times New Roman"/>
          <w:sz w:val="22"/>
        </w:rPr>
        <w:t>Команда согласовала проверку сервиса на учебных данных. Координатор подготовит результат проверки к 25 сентября. Это полностью вымышленный пример для демонстрации оформления.</w:t>
      </w:r>
    </w:p>
    <w:p>
      <w:pPr>
        <w:pStyle w:val="Heading2"/>
        <w:keepNext/>
        <w:widowControl/>
        <w:spacing w:after="120" w:before="400"/>
      </w:pPr>
      <w:r>
        <w:t>Поручения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2"/>
        <w:gridCol w:w="2808"/>
        <w:gridCol w:w="2340"/>
      </w:tblGrid>
      <w:tr>
        <w:trPr>
          <w:tblHeader/>
          <w:tblHeader/>
        </w:trPr>
        <w:tc>
          <w:tcPr>
            <w:tcW w:type="dxa" w:w="4212"/>
            <w:shd w:fill="D9E2F3" w:color="auto" w:val="clear"/>
          </w:tcPr>
          <w:p>
            <w:pPr>
              <w:spacing w:after="80" w:before="80"/>
            </w:pPr>
            <w:r>
              <w:rPr>
                <w:rFonts w:ascii="Times New Roman" w:hAnsi="Times New Roman"/>
                <w:b/>
                <w:bCs/>
                <w:sz w:val="22"/>
              </w:rPr>
              <w:t xml:space="preserve">Поручение</w:t>
            </w:r>
          </w:p>
        </w:tc>
        <w:tc>
          <w:tcPr>
            <w:tcW w:type="dxa" w:w="2808"/>
            <w:shd w:fill="D9E2F3" w:color="auto" w:val="clear"/>
          </w:tcPr>
          <w:p>
            <w:pPr>
              <w:spacing w:after="80" w:before="80"/>
            </w:pPr>
            <w:r>
              <w:rPr>
                <w:rFonts w:ascii="Times New Roman" w:hAnsi="Times New Roman"/>
                <w:b/>
                <w:bCs/>
                <w:sz w:val="22"/>
              </w:rPr>
              <w:t xml:space="preserve">Ответственный</w:t>
            </w:r>
          </w:p>
        </w:tc>
        <w:tc>
          <w:tcPr>
            <w:tcW w:type="dxa" w:w="2340"/>
            <w:shd w:fill="D9E2F3" w:color="auto" w:val="clear"/>
          </w:tcPr>
          <w:p>
            <w:pPr>
              <w:spacing w:after="80" w:before="80"/>
            </w:pPr>
            <w:r>
              <w:rPr>
                <w:rFonts w:ascii="Times New Roman" w:hAnsi="Times New Roman"/>
                <w:b/>
                <w:bCs/>
                <w:sz w:val="22"/>
              </w:rPr>
              <w:t xml:space="preserve">Срок</w:t>
            </w:r>
          </w:p>
        </w:tc>
      </w:tr>
      <w:tr>
        <w:trPr>
          <w:cantSplit/>
        </w:trPr>
        <w:tc>
          <w:tcPr>
            <w:tcW w:type="dxa" w:w="4212"/>
          </w:tcPr>
          <w:p>
            <w:pPr>
              <w:spacing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Проверить сервис на учебных данных</w:t>
            </w:r>
          </w:p>
        </w:tc>
        <w:tc>
          <w:tcPr>
            <w:tcW w:type="dxa" w:w="2808"/>
          </w:tcPr>
          <w:p>
            <w:pPr>
              <w:spacing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Координатор</w:t>
            </w:r>
          </w:p>
        </w:tc>
        <w:tc>
          <w:tcPr>
            <w:tcW w:type="dxa" w:w="2340"/>
          </w:tcPr>
          <w:p>
            <w:pPr>
              <w:spacing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к 25 сентября</w:t>
            </w:r>
          </w:p>
        </w:tc>
      </w:tr>
    </w:tbl>
    <w:p>
      <w:pPr>
        <w:pStyle w:val="Heading2"/>
        <w:keepNext/>
        <w:widowControl/>
        <w:spacing w:after="120" w:before="400"/>
      </w:pPr>
      <w:r>
        <w:t>Тема 2. Обучение сотрудников</w:t>
      </w:r>
    </w:p>
    <w:p>
      <w:pPr>
        <w:keepNext w:val="0"/>
        <w:widowControl/>
        <w:spacing w:after="120"/>
      </w:pPr>
      <w:r>
        <w:rPr>
          <w:rFonts w:ascii="Times New Roman" w:hAnsi="Times New Roman"/>
          <w:sz w:val="22"/>
        </w:rPr>
        <w:t>Специалист подготовит короткую инструкцию к 28 сентября. Обучение сотрудников состоится после проверки сервиса.</w:t>
      </w:r>
    </w:p>
    <w:p>
      <w:pPr>
        <w:pStyle w:val="Heading2"/>
        <w:keepNext/>
        <w:widowControl/>
        <w:spacing w:after="120" w:before="400"/>
      </w:pPr>
      <w:r>
        <w:t>Поручения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2"/>
        <w:gridCol w:w="2808"/>
        <w:gridCol w:w="2340"/>
      </w:tblGrid>
      <w:tr>
        <w:trPr>
          <w:tblHeader/>
          <w:tblHeader/>
        </w:trPr>
        <w:tc>
          <w:tcPr>
            <w:tcW w:type="dxa" w:w="4212"/>
            <w:shd w:fill="D9E2F3" w:color="auto" w:val="clear"/>
          </w:tcPr>
          <w:p>
            <w:pPr>
              <w:spacing w:after="80" w:before="80"/>
            </w:pPr>
            <w:r>
              <w:rPr>
                <w:rFonts w:ascii="Times New Roman" w:hAnsi="Times New Roman"/>
                <w:b/>
                <w:bCs/>
                <w:sz w:val="22"/>
              </w:rPr>
              <w:t xml:space="preserve">Поручение</w:t>
            </w:r>
          </w:p>
        </w:tc>
        <w:tc>
          <w:tcPr>
            <w:tcW w:type="dxa" w:w="2808"/>
            <w:shd w:fill="D9E2F3" w:color="auto" w:val="clear"/>
          </w:tcPr>
          <w:p>
            <w:pPr>
              <w:spacing w:after="80" w:before="80"/>
            </w:pPr>
            <w:r>
              <w:rPr>
                <w:rFonts w:ascii="Times New Roman" w:hAnsi="Times New Roman"/>
                <w:b/>
                <w:bCs/>
                <w:sz w:val="22"/>
              </w:rPr>
              <w:t xml:space="preserve">Ответственный</w:t>
            </w:r>
          </w:p>
        </w:tc>
        <w:tc>
          <w:tcPr>
            <w:tcW w:type="dxa" w:w="2340"/>
            <w:shd w:fill="D9E2F3" w:color="auto" w:val="clear"/>
          </w:tcPr>
          <w:p>
            <w:pPr>
              <w:spacing w:after="80" w:before="80"/>
            </w:pPr>
            <w:r>
              <w:rPr>
                <w:rFonts w:ascii="Times New Roman" w:hAnsi="Times New Roman"/>
                <w:b/>
                <w:bCs/>
                <w:sz w:val="22"/>
              </w:rPr>
              <w:t xml:space="preserve">Срок</w:t>
            </w:r>
          </w:p>
        </w:tc>
      </w:tr>
      <w:tr>
        <w:trPr>
          <w:cantSplit/>
        </w:trPr>
        <w:tc>
          <w:tcPr>
            <w:tcW w:type="dxa" w:w="4212"/>
          </w:tcPr>
          <w:p>
            <w:pPr>
              <w:spacing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Подготовить короткую инструкцию</w:t>
            </w:r>
          </w:p>
        </w:tc>
        <w:tc>
          <w:tcPr>
            <w:tcW w:type="dxa" w:w="2808"/>
          </w:tcPr>
          <w:p>
            <w:pPr>
              <w:spacing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Специалист</w:t>
            </w:r>
          </w:p>
        </w:tc>
        <w:tc>
          <w:tcPr>
            <w:tcW w:type="dxa" w:w="2340"/>
          </w:tcPr>
          <w:p>
            <w:pPr>
              <w:spacing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к 28 сентября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