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810000" cy="81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tor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0000" cy="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after="140"/>
        <w:jc w:val="center"/>
      </w:pPr>
      <w:r>
        <w:rPr>
          <w:rFonts w:ascii="Arial" w:hAnsi="Arial" w:cs="Arial"/>
          <w:b/>
          <w:color w:val="000000"/>
          <w:sz w:val="50"/>
        </w:rPr>
        <w:t>Бизнес модель ИИ Наставника</w:t>
      </w:r>
    </w:p>
    <w:p>
      <w:pPr>
        <w:spacing w:after="400"/>
        <w:jc w:val="center"/>
      </w:pPr>
      <w:r>
        <w:rPr>
          <w:rFonts w:ascii="Arial" w:hAnsi="Arial" w:cs="Arial"/>
          <w:b w:val="0"/>
          <w:color w:val="4B5F56"/>
          <w:sz w:val="24"/>
        </w:rPr>
        <w:t>Для Demo Day и пилотных партнёров</w:t>
      </w:r>
    </w:p>
    <w:p>
      <w:pPr>
        <w:spacing w:after="140" w:line="281" w:lineRule="auto"/>
      </w:pPr>
      <w:r>
        <w:rPr>
          <w:rFonts w:ascii="Arial" w:hAnsi="Arial" w:cs="Arial"/>
          <w:b/>
          <w:color w:val="1E2F28"/>
          <w:sz w:val="21"/>
        </w:rPr>
        <w:t xml:space="preserve">Главный вывод. </w:t>
      </w:r>
      <w:r>
        <w:rPr>
          <w:rFonts w:ascii="Arial" w:hAnsi="Arial" w:cs="Arial"/>
          <w:b w:val="0"/>
          <w:color w:val="1E2F28"/>
          <w:sz w:val="21"/>
        </w:rPr>
        <w:t>Документ описывает, как превратить браузерного помощника для русско- и казахоязычных пользователей в проверяемый B2B2C-продукт. Основная рекомендация: начать с контролируемых пилотов в школах, библиотеках и центрах цифровой грамотности, где можно измерить пользу без доступа к чувствительным данным.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701"/>
            <w:vAlign w:val="center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2268"/>
            <w:vAlign w:val="center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5669"/>
            <w:vAlign w:val="center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Цель документа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0.24.20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Рабочая гипотеза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Пилотные переговоры, Demo Day и план первых продаж</w:t>
            </w:r>
          </w:p>
        </w:tc>
      </w:tr>
    </w:tbl>
    <w:p>
      <w:pPr>
        <w:spacing w:after="60"/>
      </w:pPr>
    </w:p>
    <w:p/>
    <w:p>
      <w:pPr>
        <w:spacing w:before="100" w:after="0"/>
      </w:pPr>
      <w:r>
        <w:rPr>
          <w:rFonts w:ascii="Arial" w:hAnsi="Arial" w:cs="Arial"/>
          <w:b/>
          <w:color w:val="1E2F28"/>
          <w:sz w:val="19"/>
        </w:rPr>
        <w:t xml:space="preserve">Важно. </w:t>
      </w:r>
      <w:r>
        <w:rPr>
          <w:rFonts w:ascii="Arial" w:hAnsi="Arial" w:cs="Arial"/>
          <w:b w:val="0"/>
          <w:color w:val="4E5B54"/>
          <w:sz w:val="19"/>
        </w:rPr>
        <w:t>Цены, конверсии и объём рынка в документе являются гипотезами до интервью и пилотных измерений.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Arial" w:hAnsi="Arial" w:cs="Arial"/>
          <w:b/>
          <w:color w:val="000000"/>
          <w:sz w:val="30"/>
        </w:rPr>
        <w:t>1  Продукт и проблема</w:t>
      </w:r>
    </w:p>
    <w:p>
      <w:pPr>
        <w:spacing w:after="140" w:line="281" w:lineRule="auto"/>
      </w:pPr>
      <w:r>
        <w:rPr>
          <w:rFonts w:ascii="Arial" w:hAnsi="Arial" w:cs="Arial"/>
          <w:b w:val="0"/>
          <w:color w:val="1E2F28"/>
          <w:sz w:val="21"/>
        </w:rPr>
        <w:t>ИИ Наставник - расширение для Chrome и Edge. Оно объясняет видимые элементы текущего веб-интерфейса простым языком, принимает текстовый и голосовой вопрос, озвучивает ответ и показывает предупреждение при признаках рискованного сайта.</w:t>
      </w:r>
    </w:p>
    <w:p>
      <w:pPr>
        <w:spacing w:after="140" w:line="281" w:lineRule="auto"/>
      </w:pPr>
      <w:r>
        <w:rPr>
          <w:rFonts w:ascii="Arial" w:hAnsi="Arial" w:cs="Arial"/>
          <w:b w:val="0"/>
          <w:color w:val="1E2F28"/>
          <w:sz w:val="21"/>
        </w:rPr>
        <w:t>Продукт не действует вместо человека: не нажимает кнопки, не заполняет формы, не отправляет сообщения и не проводит платежи. Это снижает риск ошибочной автоматизации и сохраняет контроль у пользователя.</w:t>
      </w:r>
    </w:p>
    <w:p>
      <w:pPr>
        <w:pStyle w:val="Heading2"/>
        <w:keepNext/>
        <w:spacing w:before="180" w:after="120"/>
      </w:pPr>
      <w:r>
        <w:rPr>
          <w:rFonts w:ascii="Arial" w:hAnsi="Arial" w:cs="Arial"/>
          <w:b/>
          <w:color w:val="000000"/>
          <w:sz w:val="24"/>
        </w:rPr>
        <w:t>Что меняется для пользователя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color w:val="1E2F28"/>
          <w:sz w:val="21"/>
        </w:rPr>
        <w:t>Вместо поиска общей инструкции человек получает пояснение рядом с текущей кнопкой, полем или разделом.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color w:val="1E2F28"/>
          <w:sz w:val="21"/>
        </w:rPr>
        <w:t>Вместо догадки о следующем действии он получает один безопасный шаг или честную просьбу открыть нужное меню.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color w:val="1E2F28"/>
          <w:sz w:val="21"/>
        </w:rPr>
        <w:t>Вместо языкового барьера доступны казахский и русский языки, голосовой ввод и озвучивание.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color w:val="1E2F28"/>
          <w:sz w:val="21"/>
        </w:rPr>
        <w:t>Вместо ложного обещания полной защиты показывается аккуратное предупреждение только при признаках риска.</w:t>
      </w:r>
    </w:p>
    <w:p>
      <w:pPr>
        <w:pStyle w:val="Heading1"/>
        <w:keepNext/>
        <w:spacing w:before="280" w:after="120"/>
      </w:pPr>
      <w:r>
        <w:rPr>
          <w:rFonts w:ascii="Arial" w:hAnsi="Arial" w:cs="Arial"/>
          <w:b/>
          <w:color w:val="000000"/>
          <w:sz w:val="30"/>
        </w:rPr>
        <w:t>2  Приоритетные сегменты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1843"/>
            <w:vAlign w:val="center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Сегмент</w:t>
            </w:r>
          </w:p>
        </w:tc>
        <w:tc>
          <w:tcPr>
            <w:tcW w:type="dxa" w:w="2069"/>
            <w:vAlign w:val="center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Кто платит</w:t>
            </w:r>
          </w:p>
        </w:tc>
        <w:tc>
          <w:tcPr>
            <w:tcW w:type="dxa" w:w="2778"/>
            <w:vAlign w:val="center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Боль</w:t>
            </w:r>
          </w:p>
        </w:tc>
        <w:tc>
          <w:tcPr>
            <w:tcW w:type="dxa" w:w="2948"/>
            <w:vAlign w:val="center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Первая ценность</w:t>
            </w:r>
          </w:p>
        </w:tc>
      </w:tr>
      <w:tr>
        <w:tc>
          <w:tcPr>
            <w:tcW w:type="dxa" w:w="1843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Пожилые и начинающие</w:t>
            </w:r>
          </w:p>
        </w:tc>
        <w:tc>
          <w:tcPr>
            <w:tcW w:type="dxa" w:w="2069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Семья, социальный или образовательный партнёр</w:t>
            </w:r>
          </w:p>
        </w:tc>
        <w:tc>
          <w:tcPr>
            <w:tcW w:type="dxa" w:w="2778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Страх ошибиться и непонимание интерфейса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Понятная подсказка, голос, два языка</w:t>
            </w:r>
          </w:p>
        </w:tc>
      </w:tr>
      <w:tr>
        <w:tc>
          <w:tcPr>
            <w:tcW w:type="dxa" w:w="1843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Школьники и студенты</w:t>
            </w:r>
          </w:p>
        </w:tc>
        <w:tc>
          <w:tcPr>
            <w:tcW w:type="dxa" w:w="2069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Школа, колледж, вуз, EdTech</w:t>
            </w:r>
          </w:p>
        </w:tc>
        <w:tc>
          <w:tcPr>
            <w:tcW w:type="dxa" w:w="2778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Не знает, как выполнить задачу в веб-сервисе</w:t>
            </w:r>
          </w:p>
        </w:tc>
        <w:tc>
          <w:tcPr>
            <w:tcW w:type="dxa" w:w="2948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Обучение интерфейсу и Word/Excel без чтения файла</w:t>
            </w:r>
          </w:p>
        </w:tc>
      </w:tr>
      <w:tr>
        <w:tc>
          <w:tcPr>
            <w:tcW w:type="dxa" w:w="1843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Библиотеки и НКО</w:t>
            </w:r>
          </w:p>
        </w:tc>
        <w:tc>
          <w:tcPr>
            <w:tcW w:type="dxa" w:w="2069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Организация</w:t>
            </w:r>
          </w:p>
        </w:tc>
        <w:tc>
          <w:tcPr>
            <w:tcW w:type="dxa" w:w="2778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Повторяющиеся простые вопросы и очереди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Первый уровень цифровой помощи</w:t>
            </w:r>
          </w:p>
        </w:tc>
      </w:tr>
      <w:tr>
        <w:tc>
          <w:tcPr>
            <w:tcW w:type="dxa" w:w="1843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Корпоративный onboarding</w:t>
            </w:r>
          </w:p>
        </w:tc>
        <w:tc>
          <w:tcPr>
            <w:tcW w:type="dxa" w:w="2069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Компания или владелец сервиса</w:t>
            </w:r>
          </w:p>
        </w:tc>
        <w:tc>
          <w:tcPr>
            <w:tcW w:type="dxa" w:w="2778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Долгое освоение систем и однотипные обращения</w:t>
            </w:r>
          </w:p>
        </w:tc>
        <w:tc>
          <w:tcPr>
            <w:tcW w:type="dxa" w:w="2948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Помощь на разрешённых страницах</w:t>
            </w:r>
          </w:p>
        </w:tc>
      </w:tr>
    </w:tbl>
    <w:p>
      <w:pPr>
        <w:spacing w:after="60"/>
      </w:pPr>
    </w:p>
    <w:p>
      <w:pPr>
        <w:spacing w:after="140" w:line="281" w:lineRule="auto"/>
      </w:pPr>
      <w:r>
        <w:rPr>
          <w:rFonts w:ascii="Arial" w:hAnsi="Arial" w:cs="Arial"/>
          <w:b/>
          <w:color w:val="1E2F28"/>
          <w:sz w:val="21"/>
        </w:rPr>
        <w:t xml:space="preserve">Приоритет запуска. </w:t>
      </w:r>
      <w:r>
        <w:rPr>
          <w:rFonts w:ascii="Arial" w:hAnsi="Arial" w:cs="Arial"/>
          <w:b w:val="0"/>
          <w:color w:val="1E2F28"/>
          <w:sz w:val="21"/>
        </w:rPr>
        <w:t>Стартовый фокус - B2B2C-пилоты. Один партнёр даёт доступ к группе пользователей, помогает провести обучение и позволяет сравнить результат до и после использования продукта.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Arial" w:hAnsi="Arial" w:cs="Arial"/>
          <w:b/>
          <w:color w:val="000000"/>
          <w:sz w:val="30"/>
        </w:rPr>
        <w:t>3  Ценность и продуктовое предложение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2381"/>
            <w:vAlign w:val="center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Сторона</w:t>
            </w:r>
          </w:p>
        </w:tc>
        <w:tc>
          <w:tcPr>
            <w:tcW w:type="dxa" w:w="7257"/>
            <w:vAlign w:val="center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Что получает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Пользователь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Понятное объяснение на привычном языке, голосовой вопрос и безопасный следующий шаг без автоматического действия.</w:t>
            </w:r>
          </w:p>
        </w:tc>
      </w:tr>
      <w:tr>
        <w:tc>
          <w:tcPr>
            <w:tcW w:type="dxa" w:w="2381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Семья</w:t>
            </w:r>
          </w:p>
        </w:tc>
        <w:tc>
          <w:tcPr>
            <w:tcW w:type="dxa" w:w="7257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Меньше тревоги при освоении сайтов близким человеком и видимый сигнал о подозрительных признаках адреса.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Преподаватель или консультант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Меньше повторяющихся вопросов о базовой навигации и материал для самостоятельной практики.</w:t>
            </w:r>
          </w:p>
        </w:tc>
      </w:tr>
      <w:tr>
        <w:tc>
          <w:tcPr>
            <w:tcW w:type="dxa" w:w="2381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Организация</w:t>
            </w:r>
          </w:p>
        </w:tc>
        <w:tc>
          <w:tcPr>
            <w:tcW w:type="dxa" w:w="7257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Более мягкий onboarding, потенциальное снижение однотипных обращений и инклюзивный цифровой сервис.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180" w:after="120"/>
      </w:pPr>
      <w:r>
        <w:rPr>
          <w:rFonts w:ascii="Arial" w:hAnsi="Arial" w:cs="Arial"/>
          <w:b/>
          <w:color w:val="000000"/>
          <w:sz w:val="24"/>
        </w:rPr>
        <w:t>Базовые возможности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color w:val="1E2F28"/>
          <w:sz w:val="21"/>
        </w:rPr>
        <w:t>Плавающая панель в браузере рядом с интерфейсом.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color w:val="1E2F28"/>
          <w:sz w:val="21"/>
        </w:rPr>
        <w:t>Объяснение видимых кнопок, полей, ссылок и структурных разделов без передачи полного HTML страницы.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color w:val="1E2F28"/>
          <w:sz w:val="21"/>
        </w:rPr>
        <w:t>Вопрос своими словами: помощник связывает его только с наблюдаемой командой и не придумывает скрытый маршрут.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color w:val="1E2F28"/>
          <w:sz w:val="21"/>
        </w:rPr>
        <w:t>Казахский язык по умолчанию для новой установки и сохранение выбранного языка.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color w:val="1E2F28"/>
          <w:sz w:val="21"/>
        </w:rPr>
        <w:t>Голосовой вопрос после остановки записи сразу поступает в сценарий помощи; ответ можно озвучить.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color w:val="1E2F28"/>
          <w:sz w:val="21"/>
        </w:rPr>
        <w:t>Предупреждение о риске сайта без навязчивого сообщения для чистых страниц.</w:t>
      </w:r>
    </w:p>
    <w:p>
      <w:pPr>
        <w:pStyle w:val="ListBullet"/>
        <w:spacing w:after="60" w:line="264" w:lineRule="auto"/>
      </w:pPr>
      <w:r>
        <w:rPr>
          <w:rFonts w:ascii="Arial" w:hAnsi="Arial" w:cs="Arial"/>
          <w:b w:val="0"/>
          <w:color w:val="1E2F28"/>
          <w:sz w:val="21"/>
        </w:rPr>
        <w:t>Подготовленные безопасные объяснения Word и Excel Online без чтения документа, ячеек или имени файла.</w:t>
      </w:r>
    </w:p>
    <w:p>
      <w:pPr>
        <w:pStyle w:val="Heading2"/>
        <w:keepNext/>
        <w:spacing w:before="180" w:after="120"/>
      </w:pPr>
      <w:r>
        <w:rPr>
          <w:rFonts w:ascii="Arial" w:hAnsi="Arial" w:cs="Arial"/>
          <w:b/>
          <w:color w:val="000000"/>
          <w:sz w:val="24"/>
        </w:rPr>
        <w:t>Коммерческие пакеты  рабочая гипотеза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1701"/>
            <w:vAlign w:val="center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Пакет</w:t>
            </w:r>
          </w:p>
        </w:tc>
        <w:tc>
          <w:tcPr>
            <w:tcW w:type="dxa" w:w="1814"/>
            <w:vAlign w:val="center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Кому</w:t>
            </w:r>
          </w:p>
        </w:tc>
        <w:tc>
          <w:tcPr>
            <w:tcW w:type="dxa" w:w="3402"/>
            <w:vAlign w:val="center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Содержание</w:t>
            </w:r>
          </w:p>
        </w:tc>
        <w:tc>
          <w:tcPr>
            <w:tcW w:type="dxa" w:w="2721"/>
            <w:vAlign w:val="center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Коммерческая цель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Community pilot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Школа, библиотека, НКО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Ограниченная группа, базовые сценарии, сопровождение пилота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Доказать пользу и собрать обратную связь</w:t>
            </w:r>
          </w:p>
        </w:tc>
      </w:tr>
      <w:tr>
        <w:tc>
          <w:tcPr>
            <w:tcW w:type="dxa" w:w="1701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Education</w:t>
            </w:r>
          </w:p>
        </w:tc>
        <w:tc>
          <w:tcPr>
            <w:tcW w:type="dxa" w:w="1814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Учебная организация</w:t>
            </w:r>
          </w:p>
        </w:tc>
        <w:tc>
          <w:tcPr>
            <w:tcW w:type="dxa" w:w="3402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Управляемое развёртывание, Word/Excel-сценарии, агрегированные метрики</w:t>
            </w:r>
          </w:p>
        </w:tc>
        <w:tc>
          <w:tcPr>
            <w:tcW w:type="dxa" w:w="2721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Годовая лицензия организации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Team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Компания или служба поддержки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Согласованный перечень доменов, onboarding, приоритетная поддержка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Подписка по активным пользователям или подразделениям</w:t>
            </w:r>
          </w:p>
        </w:tc>
      </w:tr>
      <w:tr>
        <w:tc>
          <w:tcPr>
            <w:tcW w:type="dxa" w:w="1701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Enterprise</w:t>
            </w:r>
          </w:p>
        </w:tc>
        <w:tc>
          <w:tcPr>
            <w:tcW w:type="dxa" w:w="1814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Крупный владелец сервиса</w:t>
            </w:r>
          </w:p>
        </w:tc>
        <w:tc>
          <w:tcPr>
            <w:tcW w:type="dxa" w:w="3402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Брендинг, SSO и аудит после отдельной проработки</w:t>
            </w:r>
          </w:p>
        </w:tc>
        <w:tc>
          <w:tcPr>
            <w:tcW w:type="dxa" w:w="2721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Внедрение и годовая поддержка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180" w:after="120"/>
      </w:pPr>
      <w:r>
        <w:rPr>
          <w:rFonts w:ascii="Arial" w:hAnsi="Arial" w:cs="Arial"/>
          <w:b/>
          <w:color w:val="000000"/>
          <w:sz w:val="24"/>
        </w:rPr>
        <w:t>Модель доступа и регистрации</w:t>
      </w:r>
    </w:p>
    <w:p>
      <w:pPr>
        <w:spacing w:after="140" w:line="281" w:lineRule="auto"/>
      </w:pPr>
      <w:r>
        <w:rPr>
          <w:rFonts w:ascii="Arial" w:hAnsi="Arial" w:cs="Arial"/>
          <w:b w:val="0"/>
          <w:color w:val="1E2F28"/>
          <w:sz w:val="21"/>
        </w:rPr>
        <w:t>Обычный пользователь получает простой вход по номеру телефона или email с одноразовым кодом либо может начать работу без регистрации с небольшой квотой. Пользователю не показываются LOCAL_ACCESS_TOKEN, адрес backend и ключ модели.</w:t>
      </w:r>
    </w:p>
    <w:p>
      <w:pPr>
        <w:spacing w:after="140" w:line="281" w:lineRule="auto"/>
      </w:pPr>
      <w:r>
        <w:rPr>
          <w:rFonts w:ascii="Arial" w:hAnsi="Arial" w:cs="Arial"/>
          <w:b w:val="0"/>
          <w:color w:val="1E2F28"/>
          <w:sz w:val="21"/>
        </w:rPr>
        <w:t>Школы и другие учебные организации используют код организации, invite-ссылку или QR-код с ограниченным сроком действия, числом активаций, отзывом и отдельной квотой. Подтверждение статуса школьника, студента или пожилого пользователя рассматривается только через официальный eGov/ЭЦП-поток после privacy-проверки. ИИН не используется как пароль и не попадает в модель. Для HackAlem AI остаётся текущий pairing-токен как режим технического стенда.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Arial" w:hAnsi="Arial" w:cs="Arial"/>
          <w:b/>
          <w:color w:val="000000"/>
          <w:sz w:val="30"/>
        </w:rPr>
        <w:t>4  Business Model Canvas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2608"/>
            <w:vAlign w:val="center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Блок</w:t>
            </w:r>
          </w:p>
        </w:tc>
        <w:tc>
          <w:tcPr>
            <w:tcW w:type="dxa" w:w="7030"/>
            <w:vAlign w:val="center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Решение для ИИ Наставника</w:t>
            </w:r>
          </w:p>
        </w:tc>
      </w:tr>
      <w:tr>
        <w:tc>
          <w:tcPr>
            <w:tcW w:type="dxa" w:w="2608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Customer Segments</w:t>
            </w:r>
          </w:p>
        </w:tc>
        <w:tc>
          <w:tcPr>
            <w:tcW w:type="dxa" w:w="7030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Начинающие пользователи, пожилые, учащиеся, организации цифровой грамотности и команды поддержки.</w:t>
            </w:r>
          </w:p>
        </w:tc>
      </w:tr>
      <w:tr>
        <w:tc>
          <w:tcPr>
            <w:tcW w:type="dxa" w:w="2608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Value Proposition</w:t>
            </w:r>
          </w:p>
        </w:tc>
        <w:tc>
          <w:tcPr>
            <w:tcW w:type="dxa" w:w="7030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Контекстная помощь рядом с интерфейсом на KK и RU; объясняет, но не совершает рискованное действие вместо человека.</w:t>
            </w:r>
          </w:p>
        </w:tc>
      </w:tr>
      <w:tr>
        <w:tc>
          <w:tcPr>
            <w:tcW w:type="dxa" w:w="2608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Channels</w:t>
            </w:r>
          </w:p>
        </w:tc>
        <w:tc>
          <w:tcPr>
            <w:tcW w:type="dxa" w:w="7030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Пилоты с образовательными и социальными организациями, Chrome Web Store и Edge Add-ons, партнёрские демо, рекомендации преподавателей и семей.</w:t>
            </w:r>
          </w:p>
        </w:tc>
      </w:tr>
      <w:tr>
        <w:tc>
          <w:tcPr>
            <w:tcW w:type="dxa" w:w="2608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Customer Relationships</w:t>
            </w:r>
          </w:p>
        </w:tc>
        <w:tc>
          <w:tcPr>
            <w:tcW w:type="dxa" w:w="7030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Простой onboarding, встроенная инструкция, база сценариев, поддержка партнёра и канал обратной связи.</w:t>
            </w:r>
          </w:p>
        </w:tc>
      </w:tr>
      <w:tr>
        <w:tc>
          <w:tcPr>
            <w:tcW w:type="dxa" w:w="2608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Revenue Streams</w:t>
            </w:r>
          </w:p>
        </w:tc>
        <w:tc>
          <w:tcPr>
            <w:tcW w:type="dxa" w:w="7030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Организационная подписка, плата за внедрение и approved-domain профиль, корпоративная поддержка. B2C freemium - только после проверки удержания.</w:t>
            </w:r>
          </w:p>
        </w:tc>
      </w:tr>
      <w:tr>
        <w:tc>
          <w:tcPr>
            <w:tcW w:type="dxa" w:w="2608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Key Activities</w:t>
            </w:r>
          </w:p>
        </w:tc>
        <w:tc>
          <w:tcPr>
            <w:tcW w:type="dxa" w:w="7030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Улучшение безопасных схем, двуязычного UX, доступности, эксплуатации backend и проведение пилотов.</w:t>
            </w:r>
          </w:p>
        </w:tc>
      </w:tr>
      <w:tr>
        <w:tc>
          <w:tcPr>
            <w:tcW w:type="dxa" w:w="2608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Key Resources</w:t>
            </w:r>
          </w:p>
        </w:tc>
        <w:tc>
          <w:tcPr>
            <w:tcW w:type="dxa" w:w="7030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Расширение, backend, двуязычный UX, проверенный каталог Office-команд, методика тестирования и партнёрства.</w:t>
            </w:r>
          </w:p>
        </w:tc>
      </w:tr>
      <w:tr>
        <w:tc>
          <w:tcPr>
            <w:tcW w:type="dxa" w:w="2608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Key Partners</w:t>
            </w:r>
          </w:p>
        </w:tc>
        <w:tc>
          <w:tcPr>
            <w:tcW w:type="dxa" w:w="7030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Школы, библиотеки, НКО, программы цифровой грамотности, AI и Speech-провайдеры, владельцы разрешённых сайтов.</w:t>
            </w:r>
          </w:p>
        </w:tc>
      </w:tr>
      <w:tr>
        <w:tc>
          <w:tcPr>
            <w:tcW w:type="dxa" w:w="2608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Cost Structure</w:t>
            </w:r>
          </w:p>
        </w:tc>
        <w:tc>
          <w:tcPr>
            <w:tcW w:type="dxa" w:w="7030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Разработка, облачная инфраструктура, модель и Speech, безопасное хранение секретов, поддержка, исследование пользователей и privacy-проверка.</w:t>
            </w:r>
          </w:p>
        </w:tc>
      </w:tr>
    </w:tbl>
    <w:p>
      <w:pPr>
        <w:spacing w:after="60"/>
      </w:pPr>
    </w:p>
    <w:p>
      <w:pPr>
        <w:pStyle w:val="Heading1"/>
        <w:keepNext/>
        <w:spacing w:before="280" w:after="120"/>
      </w:pPr>
      <w:r>
        <w:rPr>
          <w:rFonts w:ascii="Arial" w:hAnsi="Arial" w:cs="Arial"/>
          <w:b/>
          <w:color w:val="000000"/>
          <w:sz w:val="30"/>
        </w:rPr>
        <w:t>5  Доходная модель и экономика</w:t>
      </w:r>
    </w:p>
    <w:p>
      <w:pPr>
        <w:spacing w:after="140" w:line="281" w:lineRule="auto"/>
      </w:pPr>
      <w:r>
        <w:rPr>
          <w:rFonts w:ascii="Arial" w:hAnsi="Arial" w:cs="Arial"/>
          <w:b w:val="0"/>
          <w:color w:val="1E2F28"/>
          <w:sz w:val="21"/>
        </w:rPr>
        <w:t>Пилоту не нужно продавать AI-токены. Партнёру понятнее оплачивать доступ организации, набор пользователей, сопровождение и согласованные сценарии. Команда при этом считает переменную стоимость на активного пользователя и не продаёт пакет ниже безопасной себестоимости.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2381"/>
            <w:vAlign w:val="center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7257"/>
            <w:vAlign w:val="center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Рабочее правило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Выручка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Подписка организации + амортизированная плата за внедрение + платная поддержка или кастомизация.</w:t>
            </w:r>
          </w:p>
        </w:tc>
      </w:tr>
      <w:tr>
        <w:tc>
          <w:tcPr>
            <w:tcW w:type="dxa" w:w="2381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Переменные расходы</w:t>
            </w:r>
          </w:p>
        </w:tc>
        <w:tc>
          <w:tcPr>
            <w:tcW w:type="dxa" w:w="7257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Запросы к модели + STT и TTS + трафик и backend + поддержка, зависящая от числа пользователей.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Целевая маржа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Не ниже 70 процентов после завершения пилота.</w:t>
            </w:r>
          </w:p>
        </w:tc>
      </w:tr>
      <w:tr>
        <w:tc>
          <w:tcPr>
            <w:tcW w:type="dxa" w:w="2381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Минимальная цена</w:t>
            </w:r>
          </w:p>
        </w:tc>
        <w:tc>
          <w:tcPr>
            <w:tcW w:type="dxa" w:w="7257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Если V - переменная стоимость пользователя, переменная часть цены должна быть не меньше V / 0,30.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Ограничения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В пакете нужен лимит включённых вопросов и голосовых минут; дополнительный объём оформляется как add-on или мягкое ограничение.</w:t>
            </w:r>
          </w:p>
        </w:tc>
      </w:tr>
    </w:tbl>
    <w:p>
      <w:pPr>
        <w:spacing w:after="60"/>
      </w:pPr>
    </w:p>
    <w:p>
      <w:pPr>
        <w:spacing w:after="140" w:line="281" w:lineRule="auto"/>
      </w:pPr>
      <w:r>
        <w:rPr>
          <w:rFonts w:ascii="Arial" w:hAnsi="Arial" w:cs="Arial"/>
          <w:b/>
          <w:color w:val="1E2F28"/>
          <w:sz w:val="21"/>
        </w:rPr>
        <w:t xml:space="preserve">Дисциплина расчёта. </w:t>
      </w:r>
      <w:r>
        <w:rPr>
          <w:rFonts w:ascii="Arial" w:hAnsi="Arial" w:cs="Arial"/>
          <w:b w:val="0"/>
          <w:color w:val="1E2F28"/>
          <w:sz w:val="21"/>
        </w:rPr>
        <w:t>Перед любым коммерческим предложением нужно подставить актуальные тарифы выбранных AI и Speech-провайдеров на дату расчёта. Публичные устаревшие цены не использовать.</w:t>
      </w:r>
    </w:p>
    <w:p>
      <w:pPr>
        <w:pStyle w:val="Heading1"/>
        <w:keepNext/>
        <w:spacing w:before="280" w:after="120"/>
      </w:pPr>
      <w:r>
        <w:rPr>
          <w:rFonts w:ascii="Arial" w:hAnsi="Arial" w:cs="Arial"/>
          <w:b/>
          <w:color w:val="000000"/>
          <w:sz w:val="30"/>
        </w:rPr>
        <w:t>6  Первые 90 дней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1701"/>
            <w:vAlign w:val="center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1304"/>
            <w:vAlign w:val="center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Период</w:t>
            </w:r>
          </w:p>
        </w:tc>
        <w:tc>
          <w:tcPr>
            <w:tcW w:type="dxa" w:w="4025"/>
            <w:vAlign w:val="center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Действия</w:t>
            </w:r>
          </w:p>
        </w:tc>
        <w:tc>
          <w:tcPr>
            <w:tcW w:type="dxa" w:w="2608"/>
            <w:vAlign w:val="center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Подтверждение боли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Недели 1-3</w:t>
            </w:r>
          </w:p>
        </w:tc>
        <w:tc>
          <w:tcPr>
            <w:tcW w:type="dxa" w:w="4025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10-15 интервью с пользователями, преподавателями, библиотекарями и сотрудниками поддержки. Проверка 2-3 безопасных сценариев.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Список реальных барьеров и критерии пилота.</w:t>
            </w:r>
          </w:p>
        </w:tc>
      </w:tr>
      <w:tr>
        <w:tc>
          <w:tcPr>
            <w:tcW w:type="dxa" w:w="1701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Контролируемый пилот</w:t>
            </w:r>
          </w:p>
        </w:tc>
        <w:tc>
          <w:tcPr>
            <w:tcW w:type="dxa" w:w="1304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Недели 4-8</w:t>
            </w:r>
          </w:p>
        </w:tc>
        <w:tc>
          <w:tcPr>
            <w:tcW w:type="dxa" w:w="4025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Один партнёр, 20-50 участников, учебные страницы и короткая вводная о границах помощника.</w:t>
            </w:r>
          </w:p>
        </w:tc>
        <w:tc>
          <w:tcPr>
            <w:tcW w:type="dxa" w:w="2608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Данные о завершении задач, понимании подсказок и сбоях.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Решение о масштабе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Недели 9-12</w:t>
            </w:r>
          </w:p>
        </w:tc>
        <w:tc>
          <w:tcPr>
            <w:tcW w:type="dxa" w:w="4025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Сравнение до и после, улучшение трёх самых частых сценариев, коммерческое предложение партнёру.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Решение о платном продолжении или корректировке продукта.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180" w:after="120"/>
      </w:pPr>
      <w:r>
        <w:rPr>
          <w:rFonts w:ascii="Arial" w:hAnsi="Arial" w:cs="Arial"/>
          <w:b/>
          <w:color w:val="000000"/>
          <w:sz w:val="24"/>
        </w:rPr>
        <w:t>Метрики пилота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2438"/>
            <w:vAlign w:val="center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7200"/>
            <w:vAlign w:val="center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Что показывает</w:t>
            </w:r>
          </w:p>
        </w:tc>
      </w:tr>
      <w:tr>
        <w:tc>
          <w:tcPr>
            <w:tcW w:type="dxa" w:w="2438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Activation rate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Понятность первого опыта: сколько установивших расширение прошли первое обучение или задали вопрос.</w:t>
            </w:r>
          </w:p>
        </w:tc>
      </w:tr>
      <w:tr>
        <w:tc>
          <w:tcPr>
            <w:tcW w:type="dxa" w:w="2438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Task completion</w:t>
            </w:r>
          </w:p>
        </w:tc>
        <w:tc>
          <w:tcPr>
            <w:tcW w:type="dxa" w:w="7200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Практическую пользу: долю завершённых безопасных сценариев среди начавших.</w:t>
            </w:r>
          </w:p>
        </w:tc>
      </w:tr>
      <w:tr>
        <w:tc>
          <w:tcPr>
            <w:tcW w:type="dxa" w:w="2438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Help deflection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Потенциальное снижение типовых вопросов консультанту.</w:t>
            </w:r>
          </w:p>
        </w:tc>
      </w:tr>
      <w:tr>
        <w:tc>
          <w:tcPr>
            <w:tcW w:type="dxa" w:w="2438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Repeat success</w:t>
            </w:r>
          </w:p>
        </w:tc>
        <w:tc>
          <w:tcPr>
            <w:tcW w:type="dxa" w:w="7200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Обучающий эффект: может ли человек повторить задачу без подсказки.</w:t>
            </w:r>
          </w:p>
        </w:tc>
      </w:tr>
      <w:tr>
        <w:tc>
          <w:tcPr>
            <w:tcW w:type="dxa" w:w="2438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KK adoption и Voice success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Востребованность казахского интерфейса и надёжность голосового пути.</w:t>
            </w:r>
          </w:p>
        </w:tc>
      </w:tr>
      <w:tr>
        <w:tc>
          <w:tcPr>
            <w:tcW w:type="dxa" w:w="2438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Safety precision review</w:t>
            </w:r>
          </w:p>
        </w:tc>
        <w:tc>
          <w:tcPr>
            <w:tcW w:type="dxa" w:w="7200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Не создаёт ли предупреждение о риске лишнюю тревогу.</w:t>
            </w:r>
          </w:p>
        </w:tc>
      </w:tr>
    </w:tbl>
    <w:p>
      <w:pPr>
        <w:spacing w:after="60"/>
      </w:pPr>
    </w:p>
    <w:p>
      <w:pPr>
        <w:spacing w:after="140" w:line="281" w:lineRule="auto"/>
      </w:pPr>
      <w:r>
        <w:rPr>
          <w:rFonts w:ascii="Arial" w:hAnsi="Arial" w:cs="Arial"/>
          <w:b w:val="0"/>
          <w:color w:val="1E2F28"/>
          <w:sz w:val="21"/>
        </w:rPr>
        <w:t>Собирать следует только агрегированные продуктовые события. Полный текст страницы, документы, пароли, записи голоса и содержимое личных аккаунтов не должны входить в аналитику. Для production-аналитики требуется отдельное понятное согласие.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Arial" w:hAnsi="Arial" w:cs="Arial"/>
          <w:b/>
          <w:color w:val="000000"/>
          <w:sz w:val="30"/>
        </w:rPr>
        <w:t>7  Риски и принципы доверия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2438"/>
            <w:vAlign w:val="center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Риск</w:t>
            </w:r>
          </w:p>
        </w:tc>
        <w:tc>
          <w:tcPr>
            <w:tcW w:type="dxa" w:w="7200"/>
            <w:vAlign w:val="center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Как управлять</w:t>
            </w:r>
          </w:p>
        </w:tc>
      </w:tr>
      <w:tr>
        <w:tc>
          <w:tcPr>
            <w:tcW w:type="dxa" w:w="2438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Неверная подсказка модели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Один безопасный следующий шаг, строгая схема ответа, запрет автоматических действий, просьба открыть меню при недостатке данных.</w:t>
            </w:r>
          </w:p>
        </w:tc>
      </w:tr>
      <w:tr>
        <w:tc>
          <w:tcPr>
            <w:tcW w:type="dxa" w:w="2438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Чувствительный контент</w:t>
            </w:r>
          </w:p>
        </w:tc>
        <w:tc>
          <w:tcPr>
            <w:tcW w:type="dxa" w:w="7200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Локальная фильтрация, минимальный контекст, запрет чтения документов и полей, понятная политика данных.</w:t>
            </w:r>
          </w:p>
        </w:tc>
      </w:tr>
      <w:tr>
        <w:tc>
          <w:tcPr>
            <w:tcW w:type="dxa" w:w="2438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Ложное чувство безопасности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Формулировка о возможной угрозе, отсутствие зелёного статуса для чистой страницы, обучение пользователя.</w:t>
            </w:r>
          </w:p>
        </w:tc>
      </w:tr>
      <w:tr>
        <w:tc>
          <w:tcPr>
            <w:tcW w:type="dxa" w:w="2438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Рост облачных расходов</w:t>
            </w:r>
          </w:p>
        </w:tc>
        <w:tc>
          <w:tcPr>
            <w:tcW w:type="dxa" w:w="7200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Лимиты, cache проверенных ответов, мониторинг затрат и пакеты по объёму.</w:t>
            </w:r>
          </w:p>
        </w:tc>
      </w:tr>
      <w:tr>
        <w:tc>
          <w:tcPr>
            <w:tcW w:type="dxa" w:w="2438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Динамические интерфейсы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Честное ограничение, повторный анализ после открытия меню и развитие покрытия по данным пилота.</w:t>
            </w:r>
          </w:p>
        </w:tc>
      </w:tr>
      <w:tr>
        <w:tc>
          <w:tcPr>
            <w:tcW w:type="dxa" w:w="2438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Качество казахского</w:t>
            </w:r>
          </w:p>
        </w:tc>
        <w:tc>
          <w:tcPr>
            <w:tcW w:type="dxa" w:w="7200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cs="Arial"/>
                <w:b w:val="0"/>
                <w:color w:val="1E2F28"/>
                <w:sz w:val="17"/>
              </w:rPr>
              <w:t>Проверка носителями, библиотека терминов и тесты ключевых сценариев.</w:t>
            </w:r>
          </w:p>
        </w:tc>
      </w:tr>
    </w:tbl>
    <w:p>
      <w:pPr>
        <w:spacing w:after="60"/>
      </w:pPr>
    </w:p>
    <w:p>
      <w:pPr>
        <w:pStyle w:val="Heading1"/>
        <w:keepNext/>
        <w:spacing w:before="280" w:after="120"/>
      </w:pPr>
      <w:r>
        <w:rPr>
          <w:rFonts w:ascii="Arial" w:hAnsi="Arial" w:cs="Arial"/>
          <w:b/>
          <w:color w:val="000000"/>
          <w:sz w:val="30"/>
        </w:rPr>
        <w:t>8  Сообщение для жюри</w:t>
      </w:r>
    </w:p>
    <w:p>
      <w:pPr>
        <w:spacing w:after="140" w:line="281" w:lineRule="auto"/>
      </w:pPr>
      <w:r>
        <w:rPr>
          <w:rFonts w:ascii="Arial" w:hAnsi="Arial" w:cs="Arial"/>
          <w:b w:val="0"/>
          <w:color w:val="1E2F28"/>
          <w:sz w:val="21"/>
        </w:rPr>
        <w:t>ИИ Наставник помогает человеку не просто найти ответ, а уверенно сделать следующий шаг в интерфейсе. Он работает с ограниченными описаниями видимых элементов, объясняет их на казахском или русском и ничего не нажимает вместо пользователя. Поэтому решение подходит начинающим пользователям, пожилым, школьникам и организациям цифровой грамотности. Мы начинаем с B2B2C-пилотов в школах, библиотеках и учебных центрах, измеряем завершение реальных задач и снижение однотипных обращений за помощью. Доход формируют организационная подписка и внедрение, а безопасность и приватность остаются архитектурными ограничениями, а не дополнительной платной опцией.</w:t>
      </w:r>
    </w:p>
    <w:p>
      <w:pPr>
        <w:pStyle w:val="Heading2"/>
        <w:keepNext/>
        <w:spacing w:before="180" w:after="120"/>
      </w:pPr>
      <w:r>
        <w:rPr>
          <w:rFonts w:ascii="Arial" w:hAnsi="Arial" w:cs="Arial"/>
          <w:b/>
          <w:color w:val="000000"/>
          <w:sz w:val="24"/>
        </w:rPr>
        <w:t>Следующий шаг для команды</w:t>
      </w:r>
    </w:p>
    <w:p>
      <w:pPr>
        <w:spacing w:after="140" w:line="281" w:lineRule="auto"/>
      </w:pPr>
      <w:r>
        <w:rPr>
          <w:rFonts w:ascii="Arial" w:hAnsi="Arial" w:cs="Arial"/>
          <w:b/>
          <w:color w:val="1E2F28"/>
          <w:sz w:val="21"/>
        </w:rPr>
        <w:t xml:space="preserve">Решение. </w:t>
      </w:r>
      <w:r>
        <w:rPr>
          <w:rFonts w:ascii="Arial" w:hAnsi="Arial" w:cs="Arial"/>
          <w:b w:val="0"/>
          <w:color w:val="1E2F28"/>
          <w:sz w:val="21"/>
        </w:rPr>
        <w:t>Выбрать одну стартовую вертикаль - образовательную организацию или библиотеку с программой цифровой грамотности - и согласовать пилот с измеримой метрикой успеха. После пилота обновить этот документ фактическими данными: размером группы, завершением сценариев, стоимостью активного пользователя, отзывами о KK и RU и решением партнёра о продлении.</w:t>
      </w:r>
    </w:p>
    <w:sectPr w:rsidR="00FC693F" w:rsidRPr="0006063C" w:rsidSect="00034616">
      <w:footerReference w:type="default" r:id="rId9"/>
      <w:pgSz w:w="12240" w:h="15840"/>
      <w:pgMar w:top="964" w:right="992" w:bottom="879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/>
      <w:jc w:val="center"/>
    </w:pPr>
    <w:r>
      <w:rPr>
        <w:rFonts w:ascii="Arial" w:hAnsi="Arial" w:cs="Arial"/>
        <w:b w:val="0"/>
        <w:color w:val="64706A"/>
        <w:sz w:val="17"/>
      </w:rPr>
      <w:t>ИИ Наставник  |  Бизнес модель  |  Версия 0.24.20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F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Бизнес модель ИИ Наставника</dc:title>
  <dc:subject>Пилотная и коммерческая модель проекта</dc:subject>
  <dc:creator>ИИ Наставник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