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5C44"/>
          <w:sz w:val="68"/>
        </w:rPr>
        <w:t>EduLab AI</w:t>
      </w:r>
    </w:p>
    <w:p>
      <w:pPr>
        <w:jc w:val="center"/>
      </w:pPr>
      <w:r>
        <w:rPr>
          <w:b/>
          <w:color w:val="14221C"/>
          <w:sz w:val="48"/>
        </w:rPr>
        <w:t>Dossier officiel du projet</w:t>
      </w:r>
    </w:p>
    <w:p>
      <w:pPr>
        <w:jc w:val="center"/>
      </w:pPr>
      <w:r>
        <w:rPr>
          <w:color w:val="66736D"/>
          <w:sz w:val="26"/>
        </w:rPr>
        <w:t>Problème, solution, architecture, gouvernance, impact et feuille de route</w:t>
      </w:r>
    </w:p>
    <w:p>
      <w:pPr>
        <w:jc w:val="center"/>
      </w:pPr>
      <w:r>
        <w:drawing>
          <wp:inline xmlns:a="http://schemas.openxmlformats.org/drawingml/2006/main" xmlns:pic="http://schemas.openxmlformats.org/drawingml/2006/picture">
            <wp:extent cx="6035040" cy="4025981"/>
            <wp:docPr id="1" name="Picture 1"/>
            <wp:cNvGraphicFramePr>
              <a:graphicFrameLocks noChangeAspect="1"/>
            </wp:cNvGraphicFramePr>
            <a:graphic>
              <a:graphicData uri="http://schemas.openxmlformats.org/drawingml/2006/picture">
                <pic:pic>
                  <pic:nvPicPr>
                    <pic:cNvPr id="0" name="edulab-dashboard-laptop.png"/>
                    <pic:cNvPicPr/>
                  </pic:nvPicPr>
                  <pic:blipFill>
                    <a:blip r:embed="rId9"/>
                    <a:stretch>
                      <a:fillRect/>
                    </a:stretch>
                  </pic:blipFill>
                  <pic:spPr>
                    <a:xfrm>
                      <a:off x="0" y="0"/>
                      <a:ext cx="6035040" cy="4025981"/>
                    </a:xfrm>
                    <a:prstGeom prst="rect"/>
                  </pic:spPr>
                </pic:pic>
              </a:graphicData>
            </a:graphic>
          </wp:inline>
        </w:drawing>
      </w:r>
    </w:p>
    <w:p>
      <w:pPr>
        <w:jc w:val="center"/>
      </w:pPr>
      <w:r>
        <w:rPr>
          <w:color w:val="66736D"/>
        </w:rPr>
        <w:t>Version 1.0 — 28/07/2026</w:t>
        <w:br/>
        <w:t>Équipe EduLab AI — Côte d’Ivoire</w:t>
      </w:r>
    </w:p>
    <w:p>
      <w:r>
        <w:br w:type="page"/>
      </w:r>
    </w:p>
    <w:p>
      <w:pPr>
        <w:pStyle w:val="Heading1"/>
      </w:pPr>
      <w:r>
        <w:t>1. Résumé exécutif</w:t>
      </w:r>
    </w:p>
    <w:p>
      <w:r>
        <w:t>EduLab AI est une plateforme éducative ivoirienne qui regroupe cours structurés, accompagnement pédagogique, exercices, préparation au BEPC et au BAC, laboratoires virtuels et suivi des acquis. Son objectif est de rendre l’accompagnement personnalisé plus accessible, sans présenter l’intelligence artificielle comme un substitut à l’enseignant.</w:t>
      </w:r>
    </w:p>
    <w:p>
      <w:pPr>
        <w:pStyle w:val="Heading1"/>
      </w:pPr>
      <w:r>
        <w:t>2. Problème identifié</w:t>
      </w:r>
    </w:p>
    <w:p>
      <w:pPr>
        <w:pStyle w:val="ListBullet"/>
      </w:pPr>
      <w:r>
        <w:t>Accès inégal à un accompagnement individualisé en dehors de la classe.</w:t>
      </w:r>
    </w:p>
    <w:p>
      <w:pPr>
        <w:pStyle w:val="ListBullet"/>
      </w:pPr>
      <w:r>
        <w:t>Difficulté à identifier rapidement les incompréhensions et les notions à revoir.</w:t>
      </w:r>
    </w:p>
    <w:p>
      <w:pPr>
        <w:pStyle w:val="ListBullet"/>
      </w:pPr>
      <w:r>
        <w:t>Ressources pédagogiques dispersées et qualité variable des contenus disponibles en ligne.</w:t>
      </w:r>
    </w:p>
    <w:p>
      <w:pPr>
        <w:pStyle w:val="ListBullet"/>
      </w:pPr>
      <w:r>
        <w:t>Manque d’environnements simples pour expérimenter, s’entraîner et suivre sa progression.</w:t>
      </w:r>
    </w:p>
    <w:p>
      <w:pPr>
        <w:pStyle w:val="Heading1"/>
      </w:pPr>
      <w:r>
        <w:t>3. Solution proposée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Composant</w:t>
            </w:r>
          </w:p>
        </w:tc>
        <w:tc>
          <w:tcPr>
            <w:tcW w:type="dxa" w:w="3312"/>
            <w:vAlign w:val="center"/>
          </w:tcPr>
          <w:p>
            <w:r>
              <w:rPr>
                <w:b/>
              </w:rPr>
              <w:t>Rôle</w:t>
            </w:r>
          </w:p>
        </w:tc>
        <w:tc>
          <w:tcPr>
            <w:tcW w:type="dxa" w:w="3312"/>
            <w:vAlign w:val="center"/>
          </w:tcPr>
          <w:p>
            <w:r>
              <w:rPr>
                <w:b/>
              </w:rPr>
              <w:t>Valeur</w:t>
            </w:r>
          </w:p>
        </w:tc>
      </w:tr>
      <w:tr>
        <w:tc>
          <w:tcPr>
            <w:tcW w:type="dxa" w:w="3312"/>
          </w:tcPr>
          <w:p>
            <w:r>
              <w:t>Professeur EduLab</w:t>
            </w:r>
          </w:p>
        </w:tc>
        <w:tc>
          <w:tcPr>
            <w:tcW w:type="dxa" w:w="3312"/>
          </w:tcPr>
          <w:p>
            <w:r>
              <w:t>Questions, explications et démonstrations</w:t>
            </w:r>
          </w:p>
        </w:tc>
        <w:tc>
          <w:tcPr>
            <w:tcW w:type="dxa" w:w="3312"/>
          </w:tcPr>
          <w:p>
            <w:r>
              <w:t>Accompagnement contextualisé</w:t>
            </w:r>
          </w:p>
        </w:tc>
      </w:tr>
      <w:tr>
        <w:tc>
          <w:tcPr>
            <w:tcW w:type="dxa" w:w="3312"/>
          </w:tcPr>
          <w:p>
            <w:r>
              <w:t>Cours</w:t>
            </w:r>
          </w:p>
        </w:tc>
        <w:tc>
          <w:tcPr>
            <w:tcW w:type="dxa" w:w="3312"/>
          </w:tcPr>
          <w:p>
            <w:r>
              <w:t>Sommaires et séquences pédagogiques</w:t>
            </w:r>
          </w:p>
        </w:tc>
        <w:tc>
          <w:tcPr>
            <w:tcW w:type="dxa" w:w="3312"/>
          </w:tcPr>
          <w:p>
            <w:r>
              <w:t>Progression structurée</w:t>
            </w:r>
          </w:p>
        </w:tc>
      </w:tr>
      <w:tr>
        <w:tc>
          <w:tcPr>
            <w:tcW w:type="dxa" w:w="3312"/>
          </w:tcPr>
          <w:p>
            <w:r>
              <w:t>Aide aux devoirs</w:t>
            </w:r>
          </w:p>
        </w:tc>
        <w:tc>
          <w:tcPr>
            <w:tcW w:type="dxa" w:w="3312"/>
          </w:tcPr>
          <w:p>
            <w:r>
              <w:t>Analyse, tentative, indices et correction</w:t>
            </w:r>
          </w:p>
        </w:tc>
        <w:tc>
          <w:tcPr>
            <w:tcW w:type="dxa" w:w="3312"/>
          </w:tcPr>
          <w:p>
            <w:r>
              <w:t>Apprendre sans faire à la place de l’élève</w:t>
            </w:r>
          </w:p>
        </w:tc>
      </w:tr>
      <w:tr>
        <w:tc>
          <w:tcPr>
            <w:tcW w:type="dxa" w:w="3312"/>
          </w:tcPr>
          <w:p>
            <w:r>
              <w:t>Examens</w:t>
            </w:r>
          </w:p>
        </w:tc>
        <w:tc>
          <w:tcPr>
            <w:tcW w:type="dxa" w:w="3312"/>
          </w:tcPr>
          <w:p>
            <w:r>
              <w:t>Entraînement et chronométrage</w:t>
            </w:r>
          </w:p>
        </w:tc>
        <w:tc>
          <w:tcPr>
            <w:tcW w:type="dxa" w:w="3312"/>
          </w:tcPr>
          <w:p>
            <w:r>
              <w:t>Préparation BEPC/BAC</w:t>
            </w:r>
          </w:p>
        </w:tc>
      </w:tr>
      <w:tr>
        <w:tc>
          <w:tcPr>
            <w:tcW w:type="dxa" w:w="3312"/>
          </w:tcPr>
          <w:p>
            <w:r>
              <w:t>Laboratoire</w:t>
            </w:r>
          </w:p>
        </w:tc>
        <w:tc>
          <w:tcPr>
            <w:tcW w:type="dxa" w:w="3312"/>
          </w:tcPr>
          <w:p>
            <w:r>
              <w:t>Simulations et protocole scientifique</w:t>
            </w:r>
          </w:p>
        </w:tc>
        <w:tc>
          <w:tcPr>
            <w:tcW w:type="dxa" w:w="3312"/>
          </w:tcPr>
          <w:p>
            <w:r>
              <w:t>Observer et expérimenter</w:t>
            </w:r>
          </w:p>
        </w:tc>
      </w:tr>
      <w:tr>
        <w:tc>
          <w:tcPr>
            <w:tcW w:type="dxa" w:w="3312"/>
          </w:tcPr>
          <w:p>
            <w:r>
              <w:t>Résultats</w:t>
            </w:r>
          </w:p>
        </w:tc>
        <w:tc>
          <w:tcPr>
            <w:tcW w:type="dxa" w:w="3312"/>
          </w:tcPr>
          <w:p>
            <w:r>
              <w:t>Suivi des activités et recommandations</w:t>
            </w:r>
          </w:p>
        </w:tc>
        <w:tc>
          <w:tcPr>
            <w:tcW w:type="dxa" w:w="3312"/>
          </w:tcPr>
          <w:p>
            <w:r>
              <w:t>Repérer les priorités</w:t>
            </w:r>
          </w:p>
        </w:tc>
      </w:tr>
    </w:tbl>
    <w:p>
      <w:pPr>
        <w:pStyle w:val="Heading1"/>
      </w:pPr>
      <w:r>
        <w:t>4. Public cible et cas d’usage</w:t>
      </w:r>
    </w:p>
    <w:p>
      <w:pPr>
        <w:pStyle w:val="ListBullet"/>
      </w:pPr>
      <w:r>
        <w:t>Élèves du collège et du lycée.</w:t>
      </w:r>
    </w:p>
    <w:p>
      <w:pPr>
        <w:pStyle w:val="ListBullet"/>
      </w:pPr>
      <w:r>
        <w:t>Candidats au BEPC et au BAC.</w:t>
      </w:r>
    </w:p>
    <w:p>
      <w:pPr>
        <w:pStyle w:val="ListBullet"/>
      </w:pPr>
      <w:r>
        <w:t>Enseignants souhaitant suivre les difficultés récurrentes.</w:t>
      </w:r>
    </w:p>
    <w:p>
      <w:pPr>
        <w:pStyle w:val="ListBullet"/>
      </w:pPr>
      <w:r>
        <w:t>Établissements recherchant un complément numérique aux cours en présentiel.</w:t>
      </w:r>
    </w:p>
    <w:p>
      <w:pPr>
        <w:pStyle w:val="Heading1"/>
      </w:pPr>
      <w:r>
        <w:t>5. Parcours utilisateur</w:t>
      </w:r>
    </w:p>
    <w:p>
      <w:r>
        <w:t>Inscription → personnalisation du niveau → tableau de bord → cours ou question → exercice/expérience → résultat enregistré → recommandation pédagogique.</w:t>
      </w:r>
    </w:p>
    <w:p>
      <w:pPr>
        <w:pStyle w:val="Heading1"/>
      </w:pPr>
      <w:r>
        <w:t>6. Architecture fonctionnelle et technique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Couche</w:t>
            </w:r>
          </w:p>
        </w:tc>
        <w:tc>
          <w:tcPr>
            <w:tcW w:type="dxa" w:w="3312"/>
            <w:vAlign w:val="center"/>
          </w:tcPr>
          <w:p>
            <w:r>
              <w:rPr>
                <w:b/>
              </w:rPr>
              <w:t>Technologies</w:t>
            </w:r>
          </w:p>
        </w:tc>
        <w:tc>
          <w:tcPr>
            <w:tcW w:type="dxa" w:w="3312"/>
            <w:vAlign w:val="center"/>
          </w:tcPr>
          <w:p>
            <w:r>
              <w:rPr>
                <w:b/>
              </w:rPr>
              <w:t>Responsabilité</w:t>
            </w:r>
          </w:p>
        </w:tc>
      </w:tr>
      <w:tr>
        <w:tc>
          <w:tcPr>
            <w:tcW w:type="dxa" w:w="3312"/>
          </w:tcPr>
          <w:p>
            <w:r>
              <w:t>Interface</w:t>
            </w:r>
          </w:p>
        </w:tc>
        <w:tc>
          <w:tcPr>
            <w:tcW w:type="dxa" w:w="3312"/>
          </w:tcPr>
          <w:p>
            <w:r>
              <w:t>Next.js 16, React 19, TypeScript, Tailwind CSS</w:t>
            </w:r>
          </w:p>
        </w:tc>
        <w:tc>
          <w:tcPr>
            <w:tcW w:type="dxa" w:w="3312"/>
          </w:tcPr>
          <w:p>
            <w:r>
              <w:t>Expérience web responsive</w:t>
            </w:r>
          </w:p>
        </w:tc>
      </w:tr>
      <w:tr>
        <w:tc>
          <w:tcPr>
            <w:tcW w:type="dxa" w:w="3312"/>
          </w:tcPr>
          <w:p>
            <w:r>
              <w:t>API</w:t>
            </w:r>
          </w:p>
        </w:tc>
        <w:tc>
          <w:tcPr>
            <w:tcW w:type="dxa" w:w="3312"/>
          </w:tcPr>
          <w:p>
            <w:r>
              <w:t>FastAPI et routes Next.js</w:t>
            </w:r>
          </w:p>
        </w:tc>
        <w:tc>
          <w:tcPr>
            <w:tcW w:type="dxa" w:w="3312"/>
          </w:tcPr>
          <w:p>
            <w:r>
              <w:t>Orchestration métier et IA</w:t>
            </w:r>
          </w:p>
        </w:tc>
      </w:tr>
      <w:tr>
        <w:tc>
          <w:tcPr>
            <w:tcW w:type="dxa" w:w="3312"/>
          </w:tcPr>
          <w:p>
            <w:r>
              <w:t>Données</w:t>
            </w:r>
          </w:p>
        </w:tc>
        <w:tc>
          <w:tcPr>
            <w:tcW w:type="dxa" w:w="3312"/>
          </w:tcPr>
          <w:p>
            <w:r>
              <w:t>Supabase, PostgreSQL</w:t>
            </w:r>
          </w:p>
        </w:tc>
        <w:tc>
          <w:tcPr>
            <w:tcW w:type="dxa" w:w="3312"/>
          </w:tcPr>
          <w:p>
            <w:r>
              <w:t>Comptes, progression, ressources</w:t>
            </w:r>
          </w:p>
        </w:tc>
      </w:tr>
      <w:tr>
        <w:tc>
          <w:tcPr>
            <w:tcW w:type="dxa" w:w="3312"/>
          </w:tcPr>
          <w:p>
            <w:r>
              <w:t>Recherche</w:t>
            </w:r>
          </w:p>
        </w:tc>
        <w:tc>
          <w:tcPr>
            <w:tcW w:type="dxa" w:w="3312"/>
          </w:tcPr>
          <w:p>
            <w:r>
              <w:t>TF-IDF, MiniLM/FAISS, fusion de rangs</w:t>
            </w:r>
          </w:p>
        </w:tc>
        <w:tc>
          <w:tcPr>
            <w:tcW w:type="dxa" w:w="3312"/>
          </w:tcPr>
          <w:p>
            <w:r>
              <w:t>Retrouver les passages pertinents</w:t>
            </w:r>
          </w:p>
        </w:tc>
      </w:tr>
      <w:tr>
        <w:tc>
          <w:tcPr>
            <w:tcW w:type="dxa" w:w="3312"/>
          </w:tcPr>
          <w:p>
            <w:r>
              <w:t>Raisonnement</w:t>
            </w:r>
          </w:p>
        </w:tc>
        <w:tc>
          <w:tcPr>
            <w:tcW w:type="dxa" w:w="3312"/>
          </w:tcPr>
          <w:p>
            <w:r>
              <w:t>OpenAI; repli extractif/local</w:t>
            </w:r>
          </w:p>
        </w:tc>
        <w:tc>
          <w:tcPr>
            <w:tcW w:type="dxa" w:w="3312"/>
          </w:tcPr>
          <w:p>
            <w:r>
              <w:t>Produire une réponse structurée</w:t>
            </w:r>
          </w:p>
        </w:tc>
      </w:tr>
      <w:tr>
        <w:tc>
          <w:tcPr>
            <w:tcW w:type="dxa" w:w="3312"/>
          </w:tcPr>
          <w:p>
            <w:r>
              <w:t>Recherche web</w:t>
            </w:r>
          </w:p>
        </w:tc>
        <w:tc>
          <w:tcPr>
            <w:tcW w:type="dxa" w:w="3312"/>
          </w:tcPr>
          <w:p>
            <w:r>
              <w:t>SerpAPI et Gemini optionnels</w:t>
            </w:r>
          </w:p>
        </w:tc>
        <w:tc>
          <w:tcPr>
            <w:tcW w:type="dxa" w:w="3312"/>
          </w:tcPr>
          <w:p>
            <w:r>
              <w:t>Complément lorsque le corpus est insuffisant</w:t>
            </w:r>
          </w:p>
        </w:tc>
      </w:tr>
      <w:tr>
        <w:tc>
          <w:tcPr>
            <w:tcW w:type="dxa" w:w="3312"/>
          </w:tcPr>
          <w:p>
            <w:r>
              <w:t>Voix</w:t>
            </w:r>
          </w:p>
        </w:tc>
        <w:tc>
          <w:tcPr>
            <w:tcW w:type="dxa" w:w="3312"/>
          </w:tcPr>
          <w:p>
            <w:r>
              <w:t>STT/TTS avec solutions de secours</w:t>
            </w:r>
          </w:p>
        </w:tc>
        <w:tc>
          <w:tcPr>
            <w:tcW w:type="dxa" w:w="3312"/>
          </w:tcPr>
          <w:p>
            <w:r>
              <w:t>Questions et réponses vocales</w:t>
            </w:r>
          </w:p>
        </w:tc>
      </w:tr>
    </w:tbl>
    <w:p>
      <w:pPr>
        <w:pStyle w:val="Heading1"/>
      </w:pPr>
      <w:r>
        <w:t>7. Principes IA responsables</w:t>
      </w:r>
    </w:p>
    <w:p>
      <w:pPr>
        <w:pStyle w:val="ListBullet"/>
      </w:pPr>
      <w:r>
        <w:t>Priorité au contexte du cours et aux ressources validées.</w:t>
      </w:r>
    </w:p>
    <w:p>
      <w:pPr>
        <w:pStyle w:val="ListBullet"/>
      </w:pPr>
      <w:r>
        <w:t>Séparation entre recherche de sources et génération de la réponse finale.</w:t>
      </w:r>
    </w:p>
    <w:p>
      <w:pPr>
        <w:pStyle w:val="ListBullet"/>
      </w:pPr>
      <w:r>
        <w:t>Signalement des limites lorsqu’une preuve suffisante n’est pas disponible.</w:t>
      </w:r>
    </w:p>
    <w:p>
      <w:pPr>
        <w:pStyle w:val="ListBullet"/>
      </w:pPr>
      <w:r>
        <w:t>Le modèle Qwen-LoRA local reste une preuve expérimentale et non une autorité scientifique.</w:t>
      </w:r>
    </w:p>
    <w:p>
      <w:pPr>
        <w:pStyle w:val="ListBullet"/>
      </w:pPr>
      <w:r>
        <w:t>Validation humaine obligatoire avant généralisation à des apprenants réels.</w:t>
      </w:r>
    </w:p>
    <w:p>
      <w:pPr>
        <w:pStyle w:val="Heading1"/>
      </w:pPr>
      <w:r>
        <w:t>8. Données</w:t>
      </w:r>
    </w:p>
    <w:p>
      <w:r>
        <w:t>Le corpus professeur actuel comporte 252 exemples d’entraînement, 63 de validation et 54 de test. Il comprend des tâches d’explication, de plan de cours, d’exercice, de correction, de résumé et de quiz. Une partie des exemples est synthétique et doit rester clairement identifiée.</w:t>
      </w:r>
    </w:p>
    <w:p>
      <w:pPr>
        <w:pStyle w:val="Heading1"/>
      </w:pPr>
      <w:r>
        <w:t>9. Résultats vérifiés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Évaluation</w:t>
            </w:r>
          </w:p>
        </w:tc>
        <w:tc>
          <w:tcPr>
            <w:tcW w:type="dxa" w:w="3312"/>
            <w:vAlign w:val="center"/>
          </w:tcPr>
          <w:p>
            <w:r>
              <w:rPr>
                <w:b/>
              </w:rPr>
              <w:t>Résultat</w:t>
            </w:r>
          </w:p>
        </w:tc>
        <w:tc>
          <w:tcPr>
            <w:tcW w:type="dxa" w:w="3312"/>
            <w:vAlign w:val="center"/>
          </w:tcPr>
          <w:p>
            <w:r>
              <w:rPr>
                <w:b/>
              </w:rPr>
              <w:t>Portée</w:t>
            </w:r>
          </w:p>
        </w:tc>
      </w:tr>
      <w:tr>
        <w:tc>
          <w:tcPr>
            <w:tcW w:type="dxa" w:w="3312"/>
          </w:tcPr>
          <w:p>
            <w:r>
              <w:t>RAG Recall@3</w:t>
            </w:r>
          </w:p>
        </w:tc>
        <w:tc>
          <w:tcPr>
            <w:tcW w:type="dxa" w:w="3312"/>
          </w:tcPr>
          <w:p>
            <w:r>
              <w:t>83,3 %</w:t>
            </w:r>
          </w:p>
        </w:tc>
        <w:tc>
          <w:tcPr>
            <w:tcW w:type="dxa" w:w="3312"/>
          </w:tcPr>
          <w:p>
            <w:r>
              <w:t>6 cas de référence seulement</w:t>
            </w:r>
          </w:p>
        </w:tc>
      </w:tr>
      <w:tr>
        <w:tc>
          <w:tcPr>
            <w:tcW w:type="dxa" w:w="3312"/>
          </w:tcPr>
          <w:p>
            <w:r>
              <w:t>RAG MRR</w:t>
            </w:r>
          </w:p>
        </w:tc>
        <w:tc>
          <w:tcPr>
            <w:tcW w:type="dxa" w:w="3312"/>
          </w:tcPr>
          <w:p>
            <w:r>
              <w:t>0,833</w:t>
            </w:r>
          </w:p>
        </w:tc>
        <w:tc>
          <w:tcPr>
            <w:tcW w:type="dxa" w:w="3312"/>
          </w:tcPr>
          <w:p>
            <w:r>
              <w:t>6 cas de référence seulement</w:t>
            </w:r>
          </w:p>
        </w:tc>
      </w:tr>
      <w:tr>
        <w:tc>
          <w:tcPr>
            <w:tcW w:type="dxa" w:w="3312"/>
          </w:tcPr>
          <w:p>
            <w:r>
              <w:t>Respect des filtres</w:t>
            </w:r>
          </w:p>
        </w:tc>
        <w:tc>
          <w:tcPr>
            <w:tcW w:type="dxa" w:w="3312"/>
          </w:tcPr>
          <w:p>
            <w:r>
              <w:t>100 %</w:t>
            </w:r>
          </w:p>
        </w:tc>
        <w:tc>
          <w:tcPr>
            <w:tcW w:type="dxa" w:w="3312"/>
          </w:tcPr>
          <w:p>
            <w:r>
              <w:t>Jeu de test RAG interne</w:t>
            </w:r>
          </w:p>
        </w:tc>
      </w:tr>
      <w:tr>
        <w:tc>
          <w:tcPr>
            <w:tcW w:type="dxa" w:w="3312"/>
          </w:tcPr>
          <w:p>
            <w:r>
              <w:t>Tests applicatifs</w:t>
            </w:r>
          </w:p>
        </w:tc>
        <w:tc>
          <w:tcPr>
            <w:tcW w:type="dxa" w:w="3312"/>
          </w:tcPr>
          <w:p>
            <w:r>
              <w:t>13 réussis, 1 ignoré</w:t>
            </w:r>
          </w:p>
        </w:tc>
        <w:tc>
          <w:tcPr>
            <w:tcW w:type="dxa" w:w="3312"/>
          </w:tcPr>
          <w:p>
            <w:r>
              <w:t>Dernière exécution locale</w:t>
            </w:r>
          </w:p>
        </w:tc>
      </w:tr>
      <w:tr>
        <w:tc>
          <w:tcPr>
            <w:tcW w:type="dxa" w:w="3312"/>
          </w:tcPr>
          <w:p>
            <w:r>
              <w:t>Génération scientifique</w:t>
            </w:r>
          </w:p>
        </w:tc>
        <w:tc>
          <w:tcPr>
            <w:tcW w:type="dxa" w:w="3312"/>
          </w:tcPr>
          <w:p>
            <w:r>
              <w:t>En attente</w:t>
            </w:r>
          </w:p>
        </w:tc>
        <w:tc>
          <w:tcPr>
            <w:tcW w:type="dxa" w:w="3312"/>
          </w:tcPr>
          <w:p>
            <w:r>
              <w:t>Annotations humaines nécessaires</w:t>
            </w:r>
          </w:p>
        </w:tc>
      </w:tr>
    </w:tbl>
    <w:p>
      <w:pPr>
        <w:pStyle w:val="Heading1"/>
      </w:pPr>
      <w:r>
        <w:t>10. Modèle économique</w:t>
      </w:r>
    </w:p>
    <w:p>
      <w:pPr>
        <w:pStyle w:val="ListBullet"/>
      </w:pPr>
      <w:r>
        <w:t>Accès gratuit limité pour découvrir les cours et outils essentiels.</w:t>
      </w:r>
    </w:p>
    <w:p>
      <w:pPr>
        <w:pStyle w:val="ListBullet"/>
      </w:pPr>
      <w:r>
        <w:t>Abonnement individuel pour suivi avancé, préparation intensive et usage étendu du professeur.</w:t>
      </w:r>
    </w:p>
    <w:p>
      <w:pPr>
        <w:pStyle w:val="ListBullet"/>
      </w:pPr>
      <w:r>
        <w:t>Licences établissements avec gestion de groupes et tableaux de suivi.</w:t>
      </w:r>
    </w:p>
    <w:p>
      <w:pPr>
        <w:pStyle w:val="ListBullet"/>
      </w:pPr>
      <w:r>
        <w:t>Partenariats de contenu et déploiements institutionnels, sous contrôle contractuel et pédagogique.</w:t>
      </w:r>
    </w:p>
    <w:p>
      <w:pPr>
        <w:pStyle w:val="Heading1"/>
      </w:pPr>
      <w:r>
        <w:t>11. Risques et mesures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Risque</w:t>
            </w:r>
          </w:p>
        </w:tc>
        <w:tc>
          <w:tcPr>
            <w:tcW w:type="dxa" w:w="4968"/>
            <w:vAlign w:val="center"/>
          </w:tcPr>
          <w:p>
            <w:r>
              <w:rPr>
                <w:b/>
              </w:rPr>
              <w:t>Mesure</w:t>
            </w:r>
          </w:p>
        </w:tc>
      </w:tr>
      <w:tr>
        <w:tc>
          <w:tcPr>
            <w:tcW w:type="dxa" w:w="4968"/>
          </w:tcPr>
          <w:p>
            <w:r>
              <w:t>Réponse incorrecte</w:t>
            </w:r>
          </w:p>
        </w:tc>
        <w:tc>
          <w:tcPr>
            <w:tcW w:type="dxa" w:w="4968"/>
          </w:tcPr>
          <w:p>
            <w:r>
              <w:t>RAG, verrouillage du contexte, sources, refus si insuffisant</w:t>
            </w:r>
          </w:p>
        </w:tc>
      </w:tr>
      <w:tr>
        <w:tc>
          <w:tcPr>
            <w:tcW w:type="dxa" w:w="4968"/>
          </w:tcPr>
          <w:p>
            <w:r>
              <w:t>Contenu non autorisé</w:t>
            </w:r>
          </w:p>
        </w:tc>
        <w:tc>
          <w:tcPr>
            <w:tcW w:type="dxa" w:w="4968"/>
          </w:tcPr>
          <w:p>
            <w:r>
              <w:t>Inventaire, statut de validation et contrôle des licences</w:t>
            </w:r>
          </w:p>
        </w:tc>
      </w:tr>
      <w:tr>
        <w:tc>
          <w:tcPr>
            <w:tcW w:type="dxa" w:w="4968"/>
          </w:tcPr>
          <w:p>
            <w:r>
              <w:t>Données de mineurs</w:t>
            </w:r>
          </w:p>
        </w:tc>
        <w:tc>
          <w:tcPr>
            <w:tcW w:type="dxa" w:w="4968"/>
          </w:tcPr>
          <w:p>
            <w:r>
              <w:t>Minimisation, contrôle d’accès et absence de secrets dans le dépôt</w:t>
            </w:r>
          </w:p>
        </w:tc>
      </w:tr>
      <w:tr>
        <w:tc>
          <w:tcPr>
            <w:tcW w:type="dxa" w:w="4968"/>
          </w:tcPr>
          <w:p>
            <w:r>
              <w:t>Dépendance aux API</w:t>
            </w:r>
          </w:p>
        </w:tc>
        <w:tc>
          <w:tcPr>
            <w:tcW w:type="dxa" w:w="4968"/>
          </w:tcPr>
          <w:p>
            <w:r>
              <w:t>Replis locaux/extractifs et supervision des fournisseurs</w:t>
            </w:r>
          </w:p>
        </w:tc>
      </w:tr>
      <w:tr>
        <w:tc>
          <w:tcPr>
            <w:tcW w:type="dxa" w:w="4968"/>
          </w:tcPr>
          <w:p>
            <w:r>
              <w:t>Coût</w:t>
            </w:r>
          </w:p>
        </w:tc>
        <w:tc>
          <w:tcPr>
            <w:tcW w:type="dxa" w:w="4968"/>
          </w:tcPr>
          <w:p>
            <w:r>
              <w:t>Cache, limitation des appels et routage par besoin</w:t>
            </w:r>
          </w:p>
        </w:tc>
      </w:tr>
    </w:tbl>
    <w:p>
      <w:pPr>
        <w:pStyle w:val="Heading1"/>
      </w:pPr>
      <w:r>
        <w:t>12. Feuille de route</w:t>
      </w:r>
    </w:p>
    <w:p>
      <w:pPr>
        <w:pStyle w:val="ListBullet"/>
      </w:pPr>
      <w:r>
        <w:t>Court terme : valider humainement les contenus prioritaires et élargir les tests RAG.</w:t>
      </w:r>
    </w:p>
    <w:p>
      <w:pPr>
        <w:pStyle w:val="ListBullet"/>
      </w:pPr>
      <w:r>
        <w:t>Moyen terme : pilote encadré avec enseignants et élèves consentants.</w:t>
      </w:r>
    </w:p>
    <w:p>
      <w:pPr>
        <w:pStyle w:val="ListBullet"/>
      </w:pPr>
      <w:r>
        <w:t>Long terme : couverture nationale progressive, mode faible connexion et partenariats établissements.</w:t>
      </w:r>
    </w:p>
    <w:p>
      <w:pPr>
        <w:pStyle w:val="Heading1"/>
      </w:pPr>
      <w:r>
        <w:t>13. Conclusion</w:t>
      </w:r>
    </w:p>
    <w:p>
      <w:r>
        <w:t>EduLab AI démontre la faisabilité d’un environnement éducatif intégré et contextualisé. La prochaine étape n’est pas d’ajouter davantage de promesses, mais d’augmenter la validation pédagogique, la couverture documentaire et les tests avec des utilisateurs encadrés.</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EduLab AI — Dossier officiel — Version 1.0 — 28/07/2026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4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5C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9783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5C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5C4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