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5C44"/>
          <w:sz w:val="68"/>
        </w:rPr>
        <w:t>EduLab AI</w:t>
      </w:r>
    </w:p>
    <w:p>
      <w:pPr>
        <w:jc w:val="center"/>
      </w:pPr>
      <w:r>
        <w:rPr>
          <w:b/>
          <w:color w:val="14221C"/>
          <w:sz w:val="48"/>
        </w:rPr>
        <w:t>Guide utilisateur et déploiement</w:t>
      </w:r>
    </w:p>
    <w:p>
      <w:pPr>
        <w:jc w:val="center"/>
      </w:pPr>
      <w:r>
        <w:rPr>
          <w:color w:val="66736D"/>
          <w:sz w:val="26"/>
        </w:rPr>
        <w:t>Utilisation de la plateforme, installation locale et procédures d’exploitation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5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lab-dashboard-lap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36D"/>
        </w:rPr>
        <w:t>Version 1.0 — 28/07/2026</w:t>
        <w:br/>
        <w:t>Équipe EduLab AI — Côte d’Ivoire</w:t>
      </w:r>
    </w:p>
    <w:p>
      <w:r>
        <w:br w:type="page"/>
      </w:r>
    </w:p>
    <w:p>
      <w:pPr>
        <w:pStyle w:val="Heading1"/>
      </w:pPr>
      <w:r>
        <w:t>1. Guide rapide de l’apprenant</w:t>
      </w:r>
    </w:p>
    <w:p>
      <w:pPr>
        <w:pStyle w:val="ListBullet"/>
      </w:pPr>
      <w:r>
        <w:t>Créer un compte, confirmer son adresse si la confirmation Supabase est activée, puis se connecter.</w:t>
      </w:r>
    </w:p>
    <w:p>
      <w:pPr>
        <w:pStyle w:val="ListBullet"/>
      </w:pPr>
      <w:r>
        <w:t>Renseigner son niveau, sa classe, ses objectifs et ses matières prioritaires.</w:t>
      </w:r>
    </w:p>
    <w:p>
      <w:pPr>
        <w:pStyle w:val="ListBullet"/>
      </w:pPr>
      <w:r>
        <w:t>Utiliser le tableau de bord pour reprendre une activité ou accéder aux espaces.</w:t>
      </w:r>
    </w:p>
    <w:p>
      <w:pPr>
        <w:pStyle w:val="ListBullet"/>
      </w:pPr>
      <w:r>
        <w:t>Dans Professeur IA, sélectionner le niveau et la matière avant de poser une question précise.</w:t>
      </w:r>
    </w:p>
    <w:p>
      <w:pPr>
        <w:pStyle w:val="ListBullet"/>
      </w:pPr>
      <w:r>
        <w:t>Dans Aide aux devoirs, fournir l’énoncé puis sa tentative avant de demander la correction.</w:t>
      </w:r>
    </w:p>
    <w:p>
      <w:pPr>
        <w:pStyle w:val="ListBullet"/>
      </w:pPr>
      <w:r>
        <w:t>Dans Laboratoire, formuler une hypothèse, modifier une variable, relever les mesures et conclure.</w:t>
      </w:r>
    </w:p>
    <w:p>
      <w:pPr>
        <w:pStyle w:val="ListBullet"/>
      </w:pPr>
      <w:r>
        <w:t>Dans Examens, choisir entraînement ou chronométrage, puis consulter les notions à revoir.</w:t>
      </w:r>
    </w:p>
    <w:p>
      <w:pPr>
        <w:pStyle w:val="Heading1"/>
      </w:pPr>
      <w:r>
        <w:t>2. Règles d’usage</w:t>
      </w:r>
    </w:p>
    <w:p>
      <w:pPr>
        <w:pStyle w:val="ListBullet"/>
      </w:pPr>
      <w:r>
        <w:t>Vérifier les réponses importantes avec le cours ou l’enseignant.</w:t>
      </w:r>
    </w:p>
    <w:p>
      <w:pPr>
        <w:pStyle w:val="ListBullet"/>
      </w:pPr>
      <w:r>
        <w:t>Ne jamais partager de mot de passe ou de données sensibles dans une question.</w:t>
      </w:r>
    </w:p>
    <w:p>
      <w:pPr>
        <w:pStyle w:val="ListBullet"/>
      </w:pPr>
      <w:r>
        <w:t>Signaler une réponse hors sujet ou scientifiquement douteuse.</w:t>
      </w:r>
    </w:p>
    <w:p>
      <w:pPr>
        <w:pStyle w:val="ListBullet"/>
      </w:pPr>
      <w:r>
        <w:t>Considérer les simulations comme des compléments, pas comme des expériences réelles.</w:t>
      </w:r>
    </w:p>
    <w:p>
      <w:pPr>
        <w:pStyle w:val="Heading1"/>
      </w:pPr>
      <w:r>
        <w:t>3. Prérequis techniques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Version/usage</w:t>
            </w:r>
          </w:p>
        </w:tc>
      </w:tr>
      <w:tr>
        <w:tc>
          <w:tcPr>
            <w:tcW w:type="dxa" w:w="4968"/>
          </w:tcPr>
          <w:p>
            <w:r>
              <w:t>Node.js</w:t>
            </w:r>
          </w:p>
        </w:tc>
        <w:tc>
          <w:tcPr>
            <w:tcW w:type="dxa" w:w="4968"/>
          </w:tcPr>
          <w:p>
            <w:r>
              <w:t>20 ou supérieur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3.11 ou supérieur</w:t>
            </w:r>
          </w:p>
        </w:tc>
      </w:tr>
      <w:tr>
        <w:tc>
          <w:tcPr>
            <w:tcW w:type="dxa" w:w="4968"/>
          </w:tcPr>
          <w:p>
            <w:r>
              <w:t>PostgreSQL/Supabase</w:t>
            </w:r>
          </w:p>
        </w:tc>
        <w:tc>
          <w:tcPr>
            <w:tcW w:type="dxa" w:w="4968"/>
          </w:tcPr>
          <w:p>
            <w:r>
              <w:t>Base et authentification</w:t>
            </w:r>
          </w:p>
        </w:tc>
      </w:tr>
      <w:tr>
        <w:tc>
          <w:tcPr>
            <w:tcW w:type="dxa" w:w="4968"/>
          </w:tcPr>
          <w:p>
            <w:r>
              <w:t>Navigateur</w:t>
            </w:r>
          </w:p>
        </w:tc>
        <w:tc>
          <w:tcPr>
            <w:tcW w:type="dxa" w:w="4968"/>
          </w:tcPr>
          <w:p>
            <w:r>
              <w:t>Chrome, Edge ou Firefox récent</w:t>
            </w:r>
          </w:p>
        </w:tc>
      </w:tr>
      <w:tr>
        <w:tc>
          <w:tcPr>
            <w:tcW w:type="dxa" w:w="4968"/>
          </w:tcPr>
          <w:p>
            <w:r>
              <w:t>GPU</w:t>
            </w:r>
          </w:p>
        </w:tc>
        <w:tc>
          <w:tcPr>
            <w:tcW w:type="dxa" w:w="4968"/>
          </w:tcPr>
          <w:p>
            <w:r>
              <w:t>Optionnel; recommandé pour Qwen 1.5B</w:t>
            </w:r>
          </w:p>
        </w:tc>
      </w:tr>
    </w:tbl>
    <w:p>
      <w:pPr>
        <w:pStyle w:val="Heading1"/>
      </w:pPr>
      <w:r>
        <w:t>4. Installation locale</w:t>
      </w:r>
    </w:p>
    <w:p>
      <w:r>
        <w:rPr>
          <w:rFonts w:ascii="Consolas" w:hAnsi="Consolas"/>
          <w:color w:val="175C44"/>
          <w:sz w:val="18"/>
        </w:rPr>
        <w:t>npm install</w:t>
      </w:r>
    </w:p>
    <w:p>
      <w:r>
        <w:rPr>
          <w:rFonts w:ascii="Consolas" w:hAnsi="Consolas"/>
          <w:color w:val="175C44"/>
          <w:sz w:val="18"/>
        </w:rPr>
        <w:t>Copy-Item .env.example .env.local</w:t>
      </w:r>
    </w:p>
    <w:p>
      <w:r>
        <w:rPr>
          <w:rFonts w:ascii="Consolas" w:hAnsi="Consolas"/>
          <w:color w:val="175C44"/>
          <w:sz w:val="18"/>
        </w:rPr>
        <w:t>npm run dev</w:t>
      </w:r>
    </w:p>
    <w:p>
      <w:r>
        <w:rPr>
          <w:rFonts w:ascii="Consolas" w:hAnsi="Consolas"/>
          <w:color w:val="175C44"/>
          <w:sz w:val="18"/>
        </w:rPr>
        <w:t>.venv\Scripts\python.exe -m uvicorn app.main:app --app-dir apps/api --port 8000</w:t>
      </w:r>
    </w:p>
    <w:p>
      <w:r>
        <w:rPr>
          <w:rFonts w:ascii="Consolas" w:hAnsi="Consolas"/>
          <w:color w:val="175C44"/>
          <w:sz w:val="18"/>
        </w:rPr>
        <w:t>scripts\run_teacher_model.cmd</w:t>
      </w:r>
    </w:p>
    <w:p>
      <w:pPr>
        <w:pStyle w:val="Heading1"/>
      </w:pPr>
      <w:r>
        <w:t>5. Configuration</w:t>
      </w:r>
    </w:p>
    <w:p>
      <w:r>
        <w:t>Les variables sensibles sont renseignées dans `.env.local` et ne doivent jamais être commitées. Les clés publiées ou partagées dans une conversation doivent être révoquées.</w:t>
      </w:r>
    </w:p>
    <w:p>
      <w:pPr>
        <w:pStyle w:val="ListBullet"/>
      </w:pPr>
      <w:r>
        <w:t>Supabase : URL publique, clé publiable, clé serveur et JWKS.</w:t>
      </w:r>
    </w:p>
    <w:p>
      <w:pPr>
        <w:pStyle w:val="ListBullet"/>
      </w:pPr>
      <w:r>
        <w:t>API : DATABASE_URL, URL frontend et origines CORS.</w:t>
      </w:r>
    </w:p>
    <w:p>
      <w:pPr>
        <w:pStyle w:val="ListBullet"/>
      </w:pPr>
      <w:r>
        <w:t>IA : fournisseur, modèle, clés OpenAI/Gemini/SerpAPI.</w:t>
      </w:r>
    </w:p>
    <w:p>
      <w:pPr>
        <w:pStyle w:val="ListBullet"/>
      </w:pPr>
      <w:r>
        <w:t>Voix : fournisseur STT/TTS et identifiant de voix.</w:t>
      </w:r>
    </w:p>
    <w:p>
      <w:pPr>
        <w:pStyle w:val="ListBullet"/>
      </w:pPr>
      <w:r>
        <w:t>Local : TEACHER_BASE_MODEL et TEACHER_ADAPTER_PATH.</w:t>
      </w:r>
    </w:p>
    <w:p>
      <w:pPr>
        <w:pStyle w:val="Heading1"/>
      </w:pPr>
      <w:r>
        <w:t>6. Vérification avant démonstration</w:t>
      </w:r>
    </w:p>
    <w:p>
      <w:pPr>
        <w:pStyle w:val="ListBullet"/>
      </w:pPr>
      <w:r>
        <w:t>Ports 3000, 8000 et 8010 actifs.</w:t>
      </w:r>
    </w:p>
    <w:p>
      <w:pPr>
        <w:pStyle w:val="ListBullet"/>
      </w:pPr>
      <w:r>
        <w:t>Connexion et déconnexion testées.</w:t>
      </w:r>
    </w:p>
    <w:p>
      <w:pPr>
        <w:pStyle w:val="ListBullet"/>
      </w:pPr>
      <w:r>
        <w:t>Une question Professeur IA testée.</w:t>
      </w:r>
    </w:p>
    <w:p>
      <w:pPr>
        <w:pStyle w:val="ListBullet"/>
      </w:pPr>
      <w:r>
        <w:t>Une expérience locale testée; connexion disponible pour PhET.</w:t>
      </w:r>
    </w:p>
    <w:p>
      <w:pPr>
        <w:pStyle w:val="ListBullet"/>
      </w:pPr>
      <w:r>
        <w:t>Un examen terminé et résultat enregistré.</w:t>
      </w:r>
    </w:p>
    <w:p>
      <w:pPr>
        <w:pStyle w:val="ListBullet"/>
      </w:pPr>
      <w:r>
        <w:t>Aucun secret visible à l’écran ou dans le terminal.</w:t>
      </w:r>
    </w:p>
    <w:p>
      <w:pPr>
        <w:pStyle w:val="Heading1"/>
      </w:pPr>
      <w:r>
        <w:t>7. Dépannage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Symptôme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Contrôle</w:t>
            </w:r>
          </w:p>
        </w:tc>
      </w:tr>
      <w:tr>
        <w:tc>
          <w:tcPr>
            <w:tcW w:type="dxa" w:w="4968"/>
          </w:tcPr>
          <w:p>
            <w:r>
              <w:t>Erreur de connexion</w:t>
            </w:r>
          </w:p>
        </w:tc>
        <w:tc>
          <w:tcPr>
            <w:tcW w:type="dxa" w:w="4968"/>
          </w:tcPr>
          <w:p>
            <w:r>
              <w:t>Variables Supabase, URL de redirection, confirmation e-mail</w:t>
            </w:r>
          </w:p>
        </w:tc>
      </w:tr>
      <w:tr>
        <w:tc>
          <w:tcPr>
            <w:tcW w:type="dxa" w:w="4968"/>
          </w:tcPr>
          <w:p>
            <w:r>
              <w:t>API indisponible</w:t>
            </w:r>
          </w:p>
        </w:tc>
        <w:tc>
          <w:tcPr>
            <w:tcW w:type="dxa" w:w="4968"/>
          </w:tcPr>
          <w:p>
            <w:r>
              <w:t>GET /api/v1/health sur le port 8000</w:t>
            </w:r>
          </w:p>
        </w:tc>
      </w:tr>
      <w:tr>
        <w:tc>
          <w:tcPr>
            <w:tcW w:type="dxa" w:w="4968"/>
          </w:tcPr>
          <w:p>
            <w:r>
              <w:t>Modèle local absent</w:t>
            </w:r>
          </w:p>
        </w:tc>
        <w:tc>
          <w:tcPr>
            <w:tcW w:type="dxa" w:w="4968"/>
          </w:tcPr>
          <w:p>
            <w:r>
              <w:t>GET /health sur le port 8010</w:t>
            </w:r>
          </w:p>
        </w:tc>
      </w:tr>
      <w:tr>
        <w:tc>
          <w:tcPr>
            <w:tcW w:type="dxa" w:w="4968"/>
          </w:tcPr>
          <w:p>
            <w:r>
              <w:t>Réponse lente</w:t>
            </w:r>
          </w:p>
        </w:tc>
        <w:tc>
          <w:tcPr>
            <w:tcW w:type="dxa" w:w="4968"/>
          </w:tcPr>
          <w:p>
            <w:r>
              <w:t>Modèle local sur CPU; utiliser GPU ou moteur distant</w:t>
            </w:r>
          </w:p>
        </w:tc>
      </w:tr>
      <w:tr>
        <w:tc>
          <w:tcPr>
            <w:tcW w:type="dxa" w:w="4968"/>
          </w:tcPr>
          <w:p>
            <w:r>
              <w:t>404 laboratoire</w:t>
            </w:r>
          </w:p>
        </w:tc>
        <w:tc>
          <w:tcPr>
            <w:tcW w:type="dxa" w:w="4968"/>
          </w:tcPr>
          <w:p>
            <w:r>
              <w:t>Vérifier la clé de simulation et la connexion PhET</w:t>
            </w:r>
          </w:p>
        </w:tc>
      </w:tr>
      <w:tr>
        <w:tc>
          <w:tcPr>
            <w:tcW w:type="dxa" w:w="4968"/>
          </w:tcPr>
          <w:p>
            <w:r>
              <w:t>Build DATABASE_URL</w:t>
            </w:r>
          </w:p>
        </w:tc>
        <w:tc>
          <w:tcPr>
            <w:tcW w:type="dxa" w:w="4968"/>
          </w:tcPr>
          <w:p>
            <w:r>
              <w:t>Charger `.env.local` avant `npm run build`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EduLab AI — Guide utilisateur et déploiement — Version 1.0 — 28/07/2026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4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5C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78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5C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5C4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