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5C44"/>
          <w:sz w:val="68"/>
        </w:rPr>
        <w:t>EduLab AI</w:t>
      </w:r>
    </w:p>
    <w:p>
      <w:pPr>
        <w:jc w:val="center"/>
      </w:pPr>
      <w:r>
        <w:rPr>
          <w:b/>
          <w:color w:val="14221C"/>
          <w:sz w:val="48"/>
        </w:rPr>
        <w:t>Rapport Data, IA et validation</w:t>
      </w:r>
    </w:p>
    <w:p>
      <w:pPr>
        <w:jc w:val="center"/>
      </w:pPr>
      <w:r>
        <w:rPr>
          <w:color w:val="66736D"/>
          <w:sz w:val="26"/>
        </w:rPr>
        <w:t>Traçabilité des données, modèles utilisés, métriques et limites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5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lab-dashboard-lap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36D"/>
        </w:rPr>
        <w:t>Version 1.0 — 28/07/2026</w:t>
        <w:br/>
        <w:t>Équipe EduLab AI — Côte d’Ivoire</w:t>
      </w:r>
    </w:p>
    <w:p>
      <w:r>
        <w:br w:type="page"/>
      </w:r>
    </w:p>
    <w:p>
      <w:pPr>
        <w:pStyle w:val="Heading1"/>
      </w:pPr>
      <w:r>
        <w:t>1. Inventaire des modèles et services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type="dxa" w:w="3312"/>
          </w:tcPr>
          <w:p>
            <w:r>
              <w:t>OpenAI</w:t>
            </w:r>
          </w:p>
        </w:tc>
        <w:tc>
          <w:tcPr>
            <w:tcW w:type="dxa" w:w="3312"/>
          </w:tcPr>
          <w:p>
            <w:r>
              <w:t>Raisonnement pédagogique final</w:t>
            </w:r>
          </w:p>
        </w:tc>
        <w:tc>
          <w:tcPr>
            <w:tcW w:type="dxa" w:w="3312"/>
          </w:tcPr>
          <w:p>
            <w:r>
              <w:t>Principal si clé/quota disponibles</w:t>
            </w:r>
          </w:p>
        </w:tc>
      </w:tr>
      <w:tr>
        <w:tc>
          <w:tcPr>
            <w:tcW w:type="dxa" w:w="3312"/>
          </w:tcPr>
          <w:p>
            <w:r>
              <w:t>Gemini + Search</w:t>
            </w:r>
          </w:p>
        </w:tc>
        <w:tc>
          <w:tcPr>
            <w:tcW w:type="dxa" w:w="3312"/>
          </w:tcPr>
          <w:p>
            <w:r>
              <w:t>Recherche web complémentaire</w:t>
            </w:r>
          </w:p>
        </w:tc>
        <w:tc>
          <w:tcPr>
            <w:tcW w:type="dxa" w:w="3312"/>
          </w:tcPr>
          <w:p>
            <w:r>
              <w:t>Optionnel</w:t>
            </w:r>
          </w:p>
        </w:tc>
      </w:tr>
      <w:tr>
        <w:tc>
          <w:tcPr>
            <w:tcW w:type="dxa" w:w="3312"/>
          </w:tcPr>
          <w:p>
            <w:r>
              <w:t>TF-IDF</w:t>
            </w:r>
          </w:p>
        </w:tc>
        <w:tc>
          <w:tcPr>
            <w:tcW w:type="dxa" w:w="3312"/>
          </w:tcPr>
          <w:p>
            <w:r>
              <w:t>Recherche lexicale</w:t>
            </w:r>
          </w:p>
        </w:tc>
        <w:tc>
          <w:tcPr>
            <w:tcW w:type="dxa" w:w="3312"/>
          </w:tcPr>
          <w:p>
            <w:r>
              <w:t>Baseline active</w:t>
            </w:r>
          </w:p>
        </w:tc>
      </w:tr>
      <w:tr>
        <w:tc>
          <w:tcPr>
            <w:tcW w:type="dxa" w:w="3312"/>
          </w:tcPr>
          <w:p>
            <w:r>
              <w:t>MiniLM + FAISS</w:t>
            </w:r>
          </w:p>
        </w:tc>
        <w:tc>
          <w:tcPr>
            <w:tcW w:type="dxa" w:w="3312"/>
          </w:tcPr>
          <w:p>
            <w:r>
              <w:t>Recherche sémantique</w:t>
            </w:r>
          </w:p>
        </w:tc>
        <w:tc>
          <w:tcPr>
            <w:tcW w:type="dxa" w:w="3312"/>
          </w:tcPr>
          <w:p>
            <w:r>
              <w:t>Couche optionnelle</w:t>
            </w:r>
          </w:p>
        </w:tc>
      </w:tr>
      <w:tr>
        <w:tc>
          <w:tcPr>
            <w:tcW w:type="dxa" w:w="3312"/>
          </w:tcPr>
          <w:p>
            <w:r>
              <w:t>Qwen2.5-0.5B LoRA</w:t>
            </w:r>
          </w:p>
        </w:tc>
        <w:tc>
          <w:tcPr>
            <w:tcW w:type="dxa" w:w="3312"/>
          </w:tcPr>
          <w:p>
            <w:r>
              <w:t>Preuve locale</w:t>
            </w:r>
          </w:p>
        </w:tc>
        <w:tc>
          <w:tcPr>
            <w:tcW w:type="dxa" w:w="3312"/>
          </w:tcPr>
          <w:p>
            <w:r>
              <w:t>Non validé pour production</w:t>
            </w:r>
          </w:p>
        </w:tc>
      </w:tr>
      <w:tr>
        <w:tc>
          <w:tcPr>
            <w:tcW w:type="dxa" w:w="3312"/>
          </w:tcPr>
          <w:p>
            <w:r>
              <w:t>Qwen2.5-1.5B QLoRA</w:t>
            </w:r>
          </w:p>
        </w:tc>
        <w:tc>
          <w:tcPr>
            <w:tcW w:type="dxa" w:w="3312"/>
          </w:tcPr>
          <w:p>
            <w:r>
              <w:t>Entraînement Colab prévu</w:t>
            </w:r>
          </w:p>
        </w:tc>
        <w:tc>
          <w:tcPr>
            <w:tcW w:type="dxa" w:w="3312"/>
          </w:tcPr>
          <w:p>
            <w:r>
              <w:t>Notebook prêt</w:t>
            </w:r>
          </w:p>
        </w:tc>
      </w:tr>
      <w:tr>
        <w:tc>
          <w:tcPr>
            <w:tcW w:type="dxa" w:w="3312"/>
          </w:tcPr>
          <w:p>
            <w:r>
              <w:t>STT/TTS</w:t>
            </w:r>
          </w:p>
        </w:tc>
        <w:tc>
          <w:tcPr>
            <w:tcW w:type="dxa" w:w="3312"/>
          </w:tcPr>
          <w:p>
            <w:r>
              <w:t>Question et réponse vocales</w:t>
            </w:r>
          </w:p>
        </w:tc>
        <w:tc>
          <w:tcPr>
            <w:tcW w:type="dxa" w:w="3312"/>
          </w:tcPr>
          <w:p>
            <w:r>
              <w:t>Selon fournisseur configuré</w:t>
            </w:r>
          </w:p>
        </w:tc>
      </w:tr>
    </w:tbl>
    <w:p>
      <w:pPr>
        <w:pStyle w:val="Heading1"/>
      </w:pPr>
      <w:r>
        <w:t>2. Jeu de données professeur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Nombre</w:t>
            </w:r>
          </w:p>
        </w:tc>
      </w:tr>
      <w:tr>
        <w:tc>
          <w:tcPr>
            <w:tcW w:type="dxa" w:w="4968"/>
          </w:tcPr>
          <w:p>
            <w:r>
              <w:t>Entraînement</w:t>
            </w:r>
          </w:p>
        </w:tc>
        <w:tc>
          <w:tcPr>
            <w:tcW w:type="dxa" w:w="4968"/>
          </w:tcPr>
          <w:p>
            <w:r>
              <w:t>252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63</w:t>
            </w:r>
          </w:p>
        </w:tc>
      </w:tr>
      <w:tr>
        <w:tc>
          <w:tcPr>
            <w:tcW w:type="dxa" w:w="4968"/>
          </w:tcPr>
          <w:p>
            <w:r>
              <w:t>Test</w:t>
            </w:r>
          </w:p>
        </w:tc>
        <w:tc>
          <w:tcPr>
            <w:tcW w:type="dxa" w:w="4968"/>
          </w:tcPr>
          <w:p>
            <w:r>
              <w:t>54</w:t>
            </w:r>
          </w:p>
        </w:tc>
      </w:tr>
      <w:tr>
        <w:tc>
          <w:tcPr>
            <w:tcW w:type="dxa" w:w="4968"/>
          </w:tcPr>
          <w:p>
            <w:r>
              <w:t>Total</w:t>
            </w:r>
          </w:p>
        </w:tc>
        <w:tc>
          <w:tcPr>
            <w:tcW w:type="dxa" w:w="4968"/>
          </w:tcPr>
          <w:p>
            <w:r>
              <w:t>369</w:t>
            </w:r>
          </w:p>
        </w:tc>
      </w:tr>
    </w:tbl>
    <w:p>
      <w:r>
        <w:t>Les données couvrent Troisième, Terminale C et Terminale D, principalement en Mathématiques, Physique-Chimie et SVT. Elles servent à apprendre une structure de réponse pédagogique, pas à mémoriser l’intégralité du programme.</w:t>
      </w:r>
    </w:p>
    <w:p>
      <w:pPr>
        <w:pStyle w:val="Heading1"/>
      </w:pPr>
      <w:r>
        <w:t>3. Évaluation RAG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Métrique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968"/>
          </w:tcPr>
          <w:p>
            <w:r>
              <w:t>Recall@3</w:t>
            </w:r>
          </w:p>
        </w:tc>
        <w:tc>
          <w:tcPr>
            <w:tcW w:type="dxa" w:w="4968"/>
          </w:tcPr>
          <w:p>
            <w:r>
              <w:t>83.3 %</w:t>
            </w:r>
          </w:p>
        </w:tc>
      </w:tr>
      <w:tr>
        <w:tc>
          <w:tcPr>
            <w:tcW w:type="dxa" w:w="4968"/>
          </w:tcPr>
          <w:p>
            <w:r>
              <w:t>MRR</w:t>
            </w:r>
          </w:p>
        </w:tc>
        <w:tc>
          <w:tcPr>
            <w:tcW w:type="dxa" w:w="4968"/>
          </w:tcPr>
          <w:p>
            <w:r>
              <w:t>0.833</w:t>
            </w:r>
          </w:p>
        </w:tc>
      </w:tr>
      <w:tr>
        <w:tc>
          <w:tcPr>
            <w:tcW w:type="dxa" w:w="4968"/>
          </w:tcPr>
          <w:p>
            <w:r>
              <w:t>Couverture moyenne des termes</w:t>
            </w:r>
          </w:p>
        </w:tc>
        <w:tc>
          <w:tcPr>
            <w:tcW w:type="dxa" w:w="4968"/>
          </w:tcPr>
          <w:p>
            <w:r>
              <w:t>91.7 %</w:t>
            </w:r>
          </w:p>
        </w:tc>
      </w:tr>
      <w:tr>
        <w:tc>
          <w:tcPr>
            <w:tcW w:type="dxa" w:w="4968"/>
          </w:tcPr>
          <w:p>
            <w:r>
              <w:t>Respect des filtres</w:t>
            </w:r>
          </w:p>
        </w:tc>
        <w:tc>
          <w:tcPr>
            <w:tcW w:type="dxa" w:w="4968"/>
          </w:tcPr>
          <w:p>
            <w:r>
              <w:t>100.0 %</w:t>
            </w:r>
          </w:p>
        </w:tc>
      </w:tr>
      <w:tr>
        <w:tc>
          <w:tcPr>
            <w:tcW w:type="dxa" w:w="4968"/>
          </w:tcPr>
          <w:p>
            <w:r>
              <w:t>Cas de référence</w:t>
            </w:r>
          </w:p>
        </w:tc>
        <w:tc>
          <w:tcPr>
            <w:tcW w:type="dxa" w:w="4968"/>
          </w:tcPr>
          <w:p>
            <w:r>
              <w:t>6</w:t>
            </w:r>
          </w:p>
        </w:tc>
      </w:tr>
    </w:tbl>
    <w:p>
      <w:r>
        <w:t>Ces valeurs constituent un test de fumée, pas une preuve statistique de performance. Il faut élargir le jeu de référence et ajouter des annotations humaines.</w:t>
      </w:r>
    </w:p>
    <w:p>
      <w:pPr>
        <w:pStyle w:val="Heading1"/>
      </w:pPr>
      <w:r>
        <w:t>4. Protocole d’entraînement Colab</w:t>
      </w:r>
    </w:p>
    <w:p>
      <w:pPr>
        <w:pStyle w:val="ListBullet"/>
      </w:pPr>
      <w:r>
        <w:t>QLoRA NF4 sur Qwen2.5-1.5B-Instruct.</w:t>
      </w:r>
    </w:p>
    <w:p>
      <w:pPr>
        <w:pStyle w:val="ListBullet"/>
      </w:pPr>
      <w:r>
        <w:t>Masquage de la consigne dans la fonction de perte.</w:t>
      </w:r>
    </w:p>
    <w:p>
      <w:pPr>
        <w:pStyle w:val="ListBullet"/>
      </w:pPr>
      <w:r>
        <w:t>Validation distincte, early stopping et sélection du meilleur checkpoint.</w:t>
      </w:r>
    </w:p>
    <w:p>
      <w:pPr>
        <w:pStyle w:val="ListBullet"/>
      </w:pPr>
      <w:r>
        <w:t>Évaluation sur le test, courbes de loss et contrôle qualitatif.</w:t>
      </w:r>
    </w:p>
    <w:p>
      <w:pPr>
        <w:pStyle w:val="ListBullet"/>
      </w:pPr>
      <w:r>
        <w:t>Export de l’adaptateur uniquement, avec métriques et limites.</w:t>
      </w:r>
    </w:p>
    <w:p>
      <w:pPr>
        <w:pStyle w:val="Heading1"/>
      </w:pPr>
      <w:r>
        <w:t>5. Critères de passage en production</w:t>
      </w:r>
    </w:p>
    <w:p>
      <w:pPr>
        <w:pStyle w:val="ListBullet"/>
      </w:pPr>
      <w:r>
        <w:t>Corpus validé par matière et par niveau.</w:t>
      </w:r>
    </w:p>
    <w:p>
      <w:pPr>
        <w:pStyle w:val="ListBullet"/>
      </w:pPr>
      <w:r>
        <w:t>Jeu d’au moins plusieurs centaines de questions humaines indépendantes.</w:t>
      </w:r>
    </w:p>
    <w:p>
      <w:pPr>
        <w:pStyle w:val="ListBullet"/>
      </w:pPr>
      <w:r>
        <w:t>Exactitude scientifique mesurée par des enseignants.</w:t>
      </w:r>
    </w:p>
    <w:p>
      <w:pPr>
        <w:pStyle w:val="ListBullet"/>
      </w:pPr>
      <w:r>
        <w:t>Tests de hors-sujet, hallucination, biais et refus.</w:t>
      </w:r>
    </w:p>
    <w:p>
      <w:pPr>
        <w:pStyle w:val="ListBullet"/>
      </w:pPr>
      <w:r>
        <w:t>Latence et coût mesurés dans les conditions réelles.</w:t>
      </w:r>
    </w:p>
    <w:p>
      <w:pPr>
        <w:pStyle w:val="ListBullet"/>
      </w:pPr>
      <w:r>
        <w:t>Procédure de signalement et de retrait d’un contenu.</w:t>
      </w:r>
    </w:p>
    <w:p>
      <w:pPr>
        <w:pStyle w:val="Heading1"/>
      </w:pPr>
      <w:r>
        <w:t>6. Conclusion de validation</w:t>
      </w:r>
    </w:p>
    <w:p>
      <w:r>
        <w:t>Le projet dispose d’une chaîne Data/ML démontrable et reproductible. Le RAG présente des résultats encourageants sur un échantillon limité. Le modèle local est expérimental; il ne doit pas être présenté comme plus fiable que les données qui l’alimentent.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EduLab AI — Rapport Data, IA et validation — Version 1.0 — 28/07/2026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422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5C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978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5C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5C4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