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1C30"/>
          <w:sz w:val="50"/>
        </w:rPr>
        <w:t>RETAIL SALES &amp; BUDGET ANALYTICS</w:t>
      </w:r>
    </w:p>
    <w:p>
      <w:pPr>
        <w:jc w:val="center"/>
      </w:pPr>
      <w:r>
        <w:rPr>
          <w:b/>
          <w:color w:val="009AA6"/>
          <w:sz w:val="32"/>
        </w:rPr>
        <w:t>Business Insights Report</w:t>
      </w:r>
    </w:p>
    <w:p>
      <w:pPr>
        <w:jc w:val="center"/>
      </w:pPr>
      <w:r>
        <w:rPr>
          <w:color w:val="475569"/>
          <w:sz w:val="20"/>
        </w:rPr>
        <w:t>Prepared by ASHOK</w:t>
        <w:br/>
        <w:t>Power BI Analysis • Sales data: 2021–2023 (through 15 March 2023)</w:t>
      </w:r>
    </w:p>
    <w:p>
      <w:r>
        <w:rPr>
          <w:rFonts w:ascii="Aptos" w:hAnsi="Aptos"/>
          <w:b/>
          <w:color w:val="121C30"/>
          <w:sz w:val="32"/>
        </w:rPr>
        <w:t>Executive snapshot</w:t>
      </w:r>
    </w:p>
    <w:p>
      <w:r>
        <w:t>The Power BI model combines three years of retail transactions into a single reporting layer. The analysis covers 10,889 orders, 101 products, 74 locations and 509 customers with purchases during the period. The central message is one of stable profitability but limited growth, with additional attention needed for low-margin products and budget-data quality.</w:t>
      </w:r>
    </w:p>
    <w:tbl>
      <w:tblPr>
        <w:tblW w:type="auto" w:w="0"/>
        <w:jc w:val="center"/>
        <w:tblLayout w:type="autofit"/>
        <w:tblLook w:firstColumn="1" w:firstRow="1" w:lastColumn="0" w:lastRow="0" w:noHBand="0" w:noVBand="1" w:val="04A0"/>
      </w:tblPr>
      <w:tblGrid>
        <w:gridCol w:w="5040"/>
        <w:gridCol w:w="5040"/>
      </w:tblGrid>
      <w:tr>
        <w:tc>
          <w:tcPr>
            <w:tcW w:type="dxa" w:w="5040"/>
            <w:vAlign w:val="center"/>
            <w:shd w:fill="0E9AA6"/>
          </w:tcPr>
          <w:p>
            <w:r>
              <w:rPr>
                <w:b/>
                <w:color w:val="FFFFFF"/>
              </w:rPr>
              <w:t>TOTAL SALES</w:t>
            </w:r>
          </w:p>
        </w:tc>
        <w:tc>
          <w:tcPr>
            <w:tcW w:type="dxa" w:w="5040"/>
            <w:vAlign w:val="center"/>
            <w:shd w:fill="EEF6F7"/>
          </w:tcPr>
          <w:p>
            <w:r>
              <w:rPr>
                <w:b/>
                <w:color w:val="121C30"/>
              </w:rPr>
              <w:t>$25.66M</w:t>
            </w:r>
          </w:p>
        </w:tc>
      </w:tr>
    </w:tbl>
    <w:p/>
    <w:tbl>
      <w:tblPr>
        <w:tblW w:type="auto" w:w="0"/>
        <w:jc w:val="center"/>
        <w:tblLayout w:type="autofit"/>
        <w:tblLook w:firstColumn="1" w:firstRow="1" w:lastColumn="0" w:lastRow="0" w:noHBand="0" w:noVBand="1" w:val="04A0"/>
      </w:tblPr>
      <w:tblGrid>
        <w:gridCol w:w="5040"/>
        <w:gridCol w:w="5040"/>
      </w:tblGrid>
      <w:tr>
        <w:tc>
          <w:tcPr>
            <w:tcW w:type="dxa" w:w="5040"/>
            <w:vAlign w:val="center"/>
            <w:shd w:fill="0E9AA6"/>
          </w:tcPr>
          <w:p>
            <w:r>
              <w:rPr>
                <w:b/>
                <w:color w:val="FFFFFF"/>
              </w:rPr>
              <w:t>GROSS PROFIT</w:t>
            </w:r>
          </w:p>
        </w:tc>
        <w:tc>
          <w:tcPr>
            <w:tcW w:type="dxa" w:w="5040"/>
            <w:vAlign w:val="center"/>
            <w:shd w:fill="EEF6F7"/>
          </w:tcPr>
          <w:p>
            <w:r>
              <w:rPr>
                <w:b/>
                <w:color w:val="121C30"/>
              </w:rPr>
              <w:t>$8.34M</w:t>
            </w:r>
          </w:p>
        </w:tc>
      </w:tr>
    </w:tbl>
    <w:p/>
    <w:tbl>
      <w:tblPr>
        <w:tblW w:type="auto" w:w="0"/>
        <w:jc w:val="center"/>
        <w:tblLayout w:type="autofit"/>
        <w:tblLook w:firstColumn="1" w:firstRow="1" w:lastColumn="0" w:lastRow="0" w:noHBand="0" w:noVBand="1" w:val="04A0"/>
      </w:tblPr>
      <w:tblGrid>
        <w:gridCol w:w="5040"/>
        <w:gridCol w:w="5040"/>
      </w:tblGrid>
      <w:tr>
        <w:tc>
          <w:tcPr>
            <w:tcW w:type="dxa" w:w="5040"/>
            <w:vAlign w:val="center"/>
            <w:shd w:fill="0E9AA6"/>
          </w:tcPr>
          <w:p>
            <w:r>
              <w:rPr>
                <w:b/>
                <w:color w:val="FFFFFF"/>
              </w:rPr>
              <w:t>GROSS MARGIN</w:t>
            </w:r>
          </w:p>
        </w:tc>
        <w:tc>
          <w:tcPr>
            <w:tcW w:type="dxa" w:w="5040"/>
            <w:vAlign w:val="center"/>
            <w:shd w:fill="EEF6F7"/>
          </w:tcPr>
          <w:p>
            <w:r>
              <w:rPr>
                <w:b/>
                <w:color w:val="121C30"/>
              </w:rPr>
              <w:t>32.5%</w:t>
            </w:r>
          </w:p>
        </w:tc>
      </w:tr>
    </w:tbl>
    <w:p/>
    <w:tbl>
      <w:tblPr>
        <w:tblW w:type="auto" w:w="0"/>
        <w:jc w:val="center"/>
        <w:tblLayout w:type="autofit"/>
        <w:tblLook w:firstColumn="1" w:firstRow="1" w:lastColumn="0" w:lastRow="0" w:noHBand="0" w:noVBand="1" w:val="04A0"/>
      </w:tblPr>
      <w:tblGrid>
        <w:gridCol w:w="5040"/>
        <w:gridCol w:w="5040"/>
      </w:tblGrid>
      <w:tr>
        <w:tc>
          <w:tcPr>
            <w:tcW w:type="dxa" w:w="5040"/>
            <w:vAlign w:val="center"/>
            <w:shd w:fill="0E9AA6"/>
          </w:tcPr>
          <w:p>
            <w:r>
              <w:rPr>
                <w:b/>
                <w:color w:val="FFFFFF"/>
              </w:rPr>
              <w:t>ORDERS</w:t>
            </w:r>
          </w:p>
        </w:tc>
        <w:tc>
          <w:tcPr>
            <w:tcW w:type="dxa" w:w="5040"/>
            <w:vAlign w:val="center"/>
            <w:shd w:fill="EEF6F7"/>
          </w:tcPr>
          <w:p>
            <w:r>
              <w:rPr>
                <w:b/>
                <w:color w:val="121C30"/>
              </w:rPr>
              <w:t>10,889</w:t>
            </w:r>
          </w:p>
        </w:tc>
      </w:tr>
    </w:tbl>
    <w:p/>
    <w:p>
      <w:r>
        <w:rPr>
          <w:rFonts w:ascii="Aptos" w:hAnsi="Aptos"/>
          <w:b/>
          <w:color w:val="121C30"/>
          <w:sz w:val="32"/>
        </w:rPr>
        <w:t>1. Business questions</w:t>
      </w:r>
    </w:p>
    <w:p>
      <w:pPr>
        <w:pStyle w:val="ListBullet"/>
        <w:spacing w:after="80"/>
      </w:pPr>
      <w:r>
        <w:t>How are revenue and margin moving across the available years?</w:t>
      </w:r>
    </w:p>
    <w:p>
      <w:pPr>
        <w:pStyle w:val="ListBullet"/>
        <w:spacing w:after="80"/>
      </w:pPr>
      <w:r>
        <w:t>Which products generate strong revenue but weak margins?</w:t>
      </w:r>
    </w:p>
    <w:p>
      <w:pPr>
        <w:pStyle w:val="ListBullet"/>
        <w:spacing w:after="80"/>
      </w:pPr>
      <w:r>
        <w:t>Is the customer base concentrated in a small number of accounts?</w:t>
      </w:r>
    </w:p>
    <w:p>
      <w:pPr>
        <w:pStyle w:val="ListBullet"/>
        <w:spacing w:after="80"/>
      </w:pPr>
      <w:r>
        <w:t>Which markets and salespeople show useful growth signals?</w:t>
      </w:r>
    </w:p>
    <w:p>
      <w:pPr>
        <w:pStyle w:val="ListBullet"/>
        <w:spacing w:after="80"/>
      </w:pPr>
      <w:r>
        <w:t>Can the recorded budget be used confidently for achievement reporting?</w:t>
      </w:r>
    </w:p>
    <w:p>
      <w:r>
        <w:rPr>
          <w:rFonts w:ascii="Aptos" w:hAnsi="Aptos"/>
          <w:b/>
          <w:color w:val="121C30"/>
          <w:sz w:val="32"/>
        </w:rPr>
        <w:t>2. Data preparation &amp; model</w:t>
      </w:r>
    </w:p>
    <w:p>
      <w:r>
        <w:t>The source workbook contains multiple yearly sales sheets. In Power Query, the sheets were profiled, standardized and appended into Fact_Sales. Unused fields were removed and row-level sales, cost and profit values were prepared for analysis.</w:t>
      </w:r>
    </w:p>
    <w:p>
      <w:pPr>
        <w:pStyle w:val="ListBullet"/>
        <w:spacing w:after="80"/>
      </w:pPr>
      <w:r>
        <w:t>10,889 sales transactions across 2021–2023.</w:t>
      </w:r>
    </w:p>
    <w:p>
      <w:pPr>
        <w:pStyle w:val="ListBullet"/>
        <w:spacing w:after="80"/>
      </w:pPr>
      <w:r>
        <w:t>2023 data is partial and ends on 15 March.</w:t>
      </w:r>
    </w:p>
    <w:p>
      <w:pPr>
        <w:pStyle w:val="ListBullet"/>
        <w:spacing w:after="80"/>
      </w:pPr>
      <w:r>
        <w:t>No duplicate order IDs or missing sales records were identified in the sales layer.</w:t>
      </w:r>
    </w:p>
    <w:p>
      <w:pPr>
        <w:pStyle w:val="ListBullet"/>
        <w:spacing w:after="80"/>
      </w:pPr>
      <w:r>
        <w:t>All 74 locations are in California.</w:t>
      </w:r>
    </w:p>
    <w:p>
      <w:pPr>
        <w:pStyle w:val="ListBullet"/>
        <w:spacing w:after="80"/>
      </w:pPr>
      <w:r>
        <w:t>Budget location labels do not reconcile cleanly with the location dimension.</w:t>
      </w:r>
    </w:p>
    <w:p>
      <w:r>
        <w:t>The final model follows a star schema: product, customer, location, salesperson and date dimensions filter a central sales fact table. This structure keeps slicers and DAX calculations predictable.</w:t>
      </w:r>
    </w:p>
    <w:p>
      <w:r>
        <w:rPr>
          <w:rFonts w:ascii="Aptos" w:hAnsi="Aptos"/>
          <w:b/>
          <w:color w:val="121C30"/>
          <w:sz w:val="32"/>
        </w:rPr>
        <w:t>3. KPI and DAX layer</w:t>
      </w:r>
    </w:p>
    <w:p>
      <w:pPr>
        <w:pStyle w:val="ListBullet"/>
        <w:spacing w:after="80"/>
      </w:pPr>
      <w:r>
        <w:t>Total Sales = SUMX(Fact_Sales, Qty × Price)</w:t>
      </w:r>
    </w:p>
    <w:p>
      <w:pPr>
        <w:pStyle w:val="ListBullet"/>
        <w:spacing w:after="80"/>
      </w:pPr>
      <w:r>
        <w:t>Gross Margin % = Gross Profit ÷ Total Sales</w:t>
      </w:r>
    </w:p>
    <w:p>
      <w:pPr>
        <w:pStyle w:val="ListBullet"/>
        <w:spacing w:after="80"/>
      </w:pPr>
      <w:r>
        <w:t>Average Order Value = Total Sales ÷ Total Orders</w:t>
      </w:r>
    </w:p>
    <w:p>
      <w:pPr>
        <w:pStyle w:val="ListBullet"/>
        <w:spacing w:after="80"/>
      </w:pPr>
      <w:r>
        <w:t>YTD Sales and Prior-Year Sales support time-based comparisons.</w:t>
      </w:r>
    </w:p>
    <w:p>
      <w:pPr>
        <w:pStyle w:val="ListBullet"/>
        <w:spacing w:after="80"/>
      </w:pPr>
      <w:r>
        <w:t>Variance and Achievement % provide budget comparisons.</w:t>
      </w:r>
    </w:p>
    <w:p>
      <w:pPr>
        <w:pStyle w:val="ListBullet"/>
        <w:spacing w:after="80"/>
      </w:pPr>
      <w:r>
        <w:t>RANKX is used for product ranking.</w:t>
      </w:r>
    </w:p>
    <w:p>
      <w:r>
        <w:rPr>
          <w:rFonts w:ascii="Aptos" w:hAnsi="Aptos"/>
          <w:b/>
          <w:color w:val="121C30"/>
          <w:sz w:val="32"/>
        </w:rPr>
        <w:t>4. Findings from the dashboard</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Aptos" w:hAnsi="Aptos"/>
                <w:sz w:val="18"/>
              </w:rPr>
              <w:t>Area</w:t>
            </w:r>
          </w:p>
        </w:tc>
        <w:tc>
          <w:tcPr>
            <w:tcW w:type="dxa" w:w="5040"/>
            <w:vAlign w:val="center"/>
          </w:tcPr>
          <w:p>
            <w:r>
              <w:rPr>
                <w:rFonts w:ascii="Aptos" w:hAnsi="Aptos"/>
                <w:sz w:val="18"/>
              </w:rPr>
              <w:t>Observation</w:t>
            </w:r>
          </w:p>
        </w:tc>
      </w:tr>
      <w:tr>
        <w:tc>
          <w:tcPr>
            <w:tcW w:type="dxa" w:w="5040"/>
            <w:vAlign w:val="center"/>
          </w:tcPr>
          <w:p>
            <w:r>
              <w:rPr>
                <w:rFonts w:ascii="Aptos" w:hAnsi="Aptos"/>
                <w:sz w:val="18"/>
              </w:rPr>
              <w:t>Revenue level</w:t>
            </w:r>
          </w:p>
        </w:tc>
        <w:tc>
          <w:tcPr>
            <w:tcW w:type="dxa" w:w="5040"/>
            <w:vAlign w:val="center"/>
          </w:tcPr>
          <w:p>
            <w:r>
              <w:rPr>
                <w:rFonts w:ascii="Aptos" w:hAnsi="Aptos"/>
                <w:sz w:val="18"/>
              </w:rPr>
              <w:t>$25.66M total sales and $8.34M gross profit, producing a 32.5% overall margin.</w:t>
            </w:r>
          </w:p>
        </w:tc>
      </w:tr>
      <w:tr>
        <w:tc>
          <w:tcPr>
            <w:tcW w:type="dxa" w:w="5040"/>
            <w:vAlign w:val="center"/>
          </w:tcPr>
          <w:p>
            <w:r>
              <w:rPr>
                <w:rFonts w:ascii="Aptos" w:hAnsi="Aptos"/>
                <w:sz w:val="18"/>
              </w:rPr>
              <w:t>Year comparison</w:t>
            </w:r>
          </w:p>
        </w:tc>
        <w:tc>
          <w:tcPr>
            <w:tcW w:type="dxa" w:w="5040"/>
            <w:vAlign w:val="center"/>
          </w:tcPr>
          <w:p>
            <w:r>
              <w:rPr>
                <w:rFonts w:ascii="Aptos" w:hAnsi="Aptos"/>
                <w:sz w:val="18"/>
              </w:rPr>
              <w:t>2022 sales were about 1.1% below 2021. For the comparable Jan–15 Mar window, 2023 was about 3.7% above 2022.</w:t>
            </w:r>
          </w:p>
        </w:tc>
      </w:tr>
      <w:tr>
        <w:tc>
          <w:tcPr>
            <w:tcW w:type="dxa" w:w="5040"/>
            <w:vAlign w:val="center"/>
          </w:tcPr>
          <w:p>
            <w:r>
              <w:rPr>
                <w:rFonts w:ascii="Aptos" w:hAnsi="Aptos"/>
                <w:sz w:val="18"/>
              </w:rPr>
              <w:t>Margin stability</w:t>
            </w:r>
          </w:p>
        </w:tc>
        <w:tc>
          <w:tcPr>
            <w:tcW w:type="dxa" w:w="5040"/>
            <w:vAlign w:val="center"/>
          </w:tcPr>
          <w:p>
            <w:r>
              <w:rPr>
                <w:rFonts w:ascii="Aptos" w:hAnsi="Aptos"/>
                <w:sz w:val="18"/>
              </w:rPr>
              <w:t>Gross margin stays close to 32.5% across the three years.</w:t>
            </w:r>
          </w:p>
        </w:tc>
      </w:tr>
      <w:tr>
        <w:tc>
          <w:tcPr>
            <w:tcW w:type="dxa" w:w="5040"/>
            <w:vAlign w:val="center"/>
          </w:tcPr>
          <w:p>
            <w:r>
              <w:rPr>
                <w:rFonts w:ascii="Aptos" w:hAnsi="Aptos"/>
                <w:sz w:val="18"/>
              </w:rPr>
              <w:t>Product mix</w:t>
            </w:r>
          </w:p>
        </w:tc>
        <w:tc>
          <w:tcPr>
            <w:tcW w:type="dxa" w:w="5040"/>
            <w:vAlign w:val="center"/>
          </w:tcPr>
          <w:p>
            <w:r>
              <w:rPr>
                <w:rFonts w:ascii="Aptos" w:hAnsi="Aptos"/>
                <w:sz w:val="18"/>
              </w:rPr>
              <w:t>Product 84 generated $529K at 17% margin; Products 66 and 4 are also below 20%.</w:t>
            </w:r>
          </w:p>
        </w:tc>
      </w:tr>
      <w:tr>
        <w:tc>
          <w:tcPr>
            <w:tcW w:type="dxa" w:w="5040"/>
            <w:vAlign w:val="center"/>
          </w:tcPr>
          <w:p>
            <w:r>
              <w:rPr>
                <w:rFonts w:ascii="Aptos" w:hAnsi="Aptos"/>
                <w:sz w:val="18"/>
              </w:rPr>
              <w:t>Profit leadership</w:t>
            </w:r>
          </w:p>
        </w:tc>
        <w:tc>
          <w:tcPr>
            <w:tcW w:type="dxa" w:w="5040"/>
            <w:vAlign w:val="center"/>
          </w:tcPr>
          <w:p>
            <w:r>
              <w:rPr>
                <w:rFonts w:ascii="Aptos" w:hAnsi="Aptos"/>
                <w:sz w:val="18"/>
              </w:rPr>
              <w:t>Product 63 leads revenue at $628K; Product 28 leads profit at $248K and 41% margin.</w:t>
            </w:r>
          </w:p>
        </w:tc>
      </w:tr>
      <w:tr>
        <w:tc>
          <w:tcPr>
            <w:tcW w:type="dxa" w:w="5040"/>
            <w:vAlign w:val="center"/>
          </w:tcPr>
          <w:p>
            <w:r>
              <w:rPr>
                <w:rFonts w:ascii="Aptos" w:hAnsi="Aptos"/>
                <w:sz w:val="18"/>
              </w:rPr>
              <w:t>Customer concentration</w:t>
            </w:r>
          </w:p>
        </w:tc>
        <w:tc>
          <w:tcPr>
            <w:tcW w:type="dxa" w:w="5040"/>
            <w:vAlign w:val="center"/>
          </w:tcPr>
          <w:p>
            <w:r>
              <w:rPr>
                <w:rFonts w:ascii="Aptos" w:hAnsi="Aptos"/>
                <w:sz w:val="18"/>
              </w:rPr>
              <w:t>The top 10 customers contribute 5.4% of sales; 155 active buyers account for roughly half of revenue.</w:t>
            </w:r>
          </w:p>
        </w:tc>
      </w:tr>
      <w:tr>
        <w:tc>
          <w:tcPr>
            <w:tcW w:type="dxa" w:w="5040"/>
            <w:vAlign w:val="center"/>
          </w:tcPr>
          <w:p>
            <w:r>
              <w:rPr>
                <w:rFonts w:ascii="Aptos" w:hAnsi="Aptos"/>
                <w:sz w:val="18"/>
              </w:rPr>
              <w:t>Seasonality</w:t>
            </w:r>
          </w:p>
        </w:tc>
        <w:tc>
          <w:tcPr>
            <w:tcW w:type="dxa" w:w="5040"/>
            <w:vAlign w:val="center"/>
          </w:tcPr>
          <w:p>
            <w:r>
              <w:rPr>
                <w:rFonts w:ascii="Aptos" w:hAnsi="Aptos"/>
                <w:sz w:val="18"/>
              </w:rPr>
              <w:t>November, December and June are stronger months; July and August are comparatively weaker.</w:t>
            </w:r>
          </w:p>
        </w:tc>
      </w:tr>
      <w:tr>
        <w:tc>
          <w:tcPr>
            <w:tcW w:type="dxa" w:w="5040"/>
            <w:vAlign w:val="center"/>
          </w:tcPr>
          <w:p>
            <w:r>
              <w:rPr>
                <w:rFonts w:ascii="Aptos" w:hAnsi="Aptos"/>
                <w:sz w:val="18"/>
              </w:rPr>
              <w:t>Market relationship</w:t>
            </w:r>
          </w:p>
        </w:tc>
        <w:tc>
          <w:tcPr>
            <w:tcW w:type="dxa" w:w="5040"/>
            <w:vAlign w:val="center"/>
          </w:tcPr>
          <w:p>
            <w:r>
              <w:rPr>
                <w:rFonts w:ascii="Aptos" w:hAnsi="Aptos"/>
                <w:sz w:val="18"/>
              </w:rPr>
              <w:t>Sales and population correlation is only 0.07, so population size alone does not explain sales.</w:t>
            </w:r>
          </w:p>
        </w:tc>
      </w:tr>
    </w:tbl>
    <w:p>
      <w:r>
        <w:rPr>
          <w:rFonts w:ascii="Aptos" w:hAnsi="Aptos"/>
          <w:b/>
          <w:color w:val="121C30"/>
          <w:sz w:val="32"/>
        </w:rPr>
        <w:t>5. Budget-data caution</w:t>
      </w:r>
    </w:p>
    <w:p>
      <w:r>
        <w:t>The model shows actual sales at roughly 3.6 times the recorded budget overall, with location-level achievement ranging from about 1.7x to 8.5x. However, the budget should not be interpreted as a reliable management benchmark yet: location names do not align for the same IDs and 23 budget locations have no corresponding sales.</w:t>
      </w:r>
    </w:p>
    <w:p>
      <w:r>
        <w:t>Recommended control: validate the budget unit/scale, rebuild the location mapping, and then refresh achievement reporting monthly.</w:t>
      </w:r>
    </w:p>
    <w:p>
      <w:r>
        <w:rPr>
          <w:rFonts w:ascii="Aptos" w:hAnsi="Aptos"/>
          <w:b/>
          <w:color w:val="121C30"/>
          <w:sz w:val="32"/>
        </w:rPr>
        <w:t>6. Recommended actions</w:t>
      </w:r>
    </w:p>
    <w:p>
      <w:pPr>
        <w:pStyle w:val="ListBullet"/>
        <w:spacing w:after="80"/>
      </w:pPr>
      <w:r>
        <w:t>Review supplier cost and pricing for Products 84, 66 and 4, prioritizing products below the 20% margin threshold.</w:t>
      </w:r>
    </w:p>
    <w:p>
      <w:pPr>
        <w:pStyle w:val="ListBullet"/>
        <w:spacing w:after="80"/>
      </w:pPr>
      <w:r>
        <w:t>Test targeted growth campaigns in large markets where sales appear low relative to population.</w:t>
      </w:r>
    </w:p>
    <w:p>
      <w:pPr>
        <w:pStyle w:val="ListBullet"/>
        <w:spacing w:after="80"/>
      </w:pPr>
      <w:r>
        <w:t>Reconcile the budget master table before using achievement percentages in management reviews.</w:t>
      </w:r>
    </w:p>
    <w:p>
      <w:pPr>
        <w:pStyle w:val="ListBullet"/>
        <w:spacing w:after="80"/>
      </w:pPr>
      <w:r>
        <w:t>Use July–August promotions to address the recurring seasonal slowdown.</w:t>
      </w:r>
    </w:p>
    <w:p>
      <w:pPr>
        <w:pStyle w:val="ListBullet"/>
        <w:spacing w:after="80"/>
      </w:pPr>
      <w:r>
        <w:t>Create a customer reactivation segment for buyers who have not purchased during the period.</w:t>
      </w:r>
    </w:p>
    <w:p>
      <w:pPr>
        <w:pStyle w:val="ListBullet"/>
        <w:spacing w:after="80"/>
      </w:pPr>
      <w:r>
        <w:t>Use salesperson-level trends to coach reps whose sales declined while sharing repeatable practices from high performers.</w:t>
      </w:r>
    </w:p>
    <w:p>
      <w:r>
        <w:rPr>
          <w:rFonts w:ascii="Aptos" w:hAnsi="Aptos"/>
          <w:b/>
          <w:color w:val="121C30"/>
          <w:sz w:val="32"/>
        </w:rPr>
        <w:t>7. Conclusion</w:t>
      </w:r>
    </w:p>
    <w:p>
      <w:r>
        <w:t>The dashboard presents a business with a stable margin base and broad participation across products, customers, locations and salespeople. The immediate opportunity is not simply to increase volume; it is to improve the quality of the revenue mix, address seasonal softness, and establish trustworthy budget data. These changes would make the Power BI report more useful for recurring management decisions.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Retail Sales &amp; Budget Analytics  •  Prepared by ASHOK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D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