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BÁO CÁO CHUYÊN ĐỀ PHỤC VỤ LUẬN VĂN TỐT NGHIỆP</w:t>
        <w:br/>
      </w:r>
    </w:p>
    <w:p>
      <w:pPr>
        <w:spacing w:before="800" w:after="400"/>
        <w:jc w:val="center"/>
      </w:pPr>
      <w:r>
        <w:rPr>
          <w:b/>
          <w:sz w:val="32"/>
        </w:rPr>
        <w:t>ỨNG DỤNG MẠNG NƠ-RON ĐỒ THỊ (GNN) TRONG BÀI TOÁN</w:t>
        <w:br/>
        <w:t>DỰ ĐOÁN HÀNH ĐỘNG GIẢI TÍCH PHÂN</w:t>
        <w:br/>
      </w:r>
    </w:p>
    <w:p>
      <w:pPr>
        <w:spacing w:before="1200" w:after="1600"/>
        <w:jc w:val="center"/>
      </w:pPr>
      <w:r>
        <w:rPr>
          <w:i/>
          <w:sz w:val="26"/>
        </w:rPr>
        <w:t>Học viên/Sinh viên thực hiện: Gia Bảo</w:t>
        <w:br/>
        <w:t>Mã nguồn dự án: integral_models (FastAPI + GNN)</w:t>
        <w:br/>
      </w:r>
    </w:p>
    <w:p>
      <w:r>
        <w:br w:type="page"/>
      </w:r>
    </w:p>
    <w:p>
      <w:pPr>
        <w:pStyle w:val="Heading1"/>
        <w:keepNext/>
        <w:spacing w:before="240" w:after="120"/>
      </w:pPr>
      <w:r>
        <w:rPr>
          <w:rFonts w:ascii="Times New Roman" w:hAnsi="Times New Roman"/>
          <w:b/>
          <w:color w:val="000000"/>
          <w:sz w:val="28"/>
        </w:rPr>
        <w:t>MỞ ĐẦU</w:t>
      </w:r>
    </w:p>
    <w:p>
      <w:pPr>
        <w:spacing w:line="312" w:lineRule="auto" w:after="120"/>
        <w:ind w:firstLine="720"/>
        <w:jc w:val="both"/>
      </w:pPr>
      <w:r>
        <w:rPr>
          <w:rFonts w:ascii="Times New Roman" w:hAnsi="Times New Roman"/>
          <w:i w:val="0"/>
        </w:rPr>
        <w:t>Trong lĩnh vực trí tuệ nhân tạo toán học (AI for Mathematics), bài toán giải tích phân tự động đóng vai trò đặc biệt quan trọng. Phương pháp truyền thống dựa vào hệ luật (Rule-based) thường gặp hạn chế khi biểu thức trở nên phức tạp, đòi hỏi phải duyệt qua hàng trăm quy tắc biến đổi tuần tự dẫn đến bùng nổ không gian trạng thái. Để giải quyết vấn đề này, luận văn đề xuất giải pháp tích hợp giữa học sâu và hệ luật, trong đó mô hình học sâu đóng vai trò định hướng bước giải (Action Prediction), giúp khoanh vùng các quy tắc biến đổi khả thi nhất.</w:t>
      </w:r>
    </w:p>
    <w:p>
      <w:pPr>
        <w:spacing w:line="312" w:lineRule="auto" w:after="120"/>
        <w:ind w:firstLine="720"/>
        <w:jc w:val="both"/>
      </w:pPr>
      <w:r>
        <w:rPr>
          <w:rFonts w:ascii="Times New Roman" w:hAnsi="Times New Roman"/>
          <w:i w:val="0"/>
        </w:rPr>
        <w:t>Báo cáo này tập trung mô tả chi tiết kiến trúc mạng học sâu đồ thị GNN (Graph Neural Network) được đề xuất để nhận diện và dự đoán bước giải tích phân từ biểu thức LaTeX đầu vào. Báo cáo trình bày đầy đủ từ quy trình biểu diễn đồ thị, thiết kế mạng nơ-ron GraphSAGE, thiết lập các siêu tham số huấn luyện đến các kết quả đánh giá thực nghiệm thu được.</w:t>
      </w:r>
    </w:p>
    <w:p>
      <w:pPr>
        <w:pStyle w:val="Heading1"/>
        <w:keepNext/>
        <w:spacing w:before="240" w:after="120"/>
      </w:pPr>
      <w:r>
        <w:rPr>
          <w:rFonts w:ascii="Times New Roman" w:hAnsi="Times New Roman"/>
          <w:b/>
          <w:color w:val="000000"/>
          <w:sz w:val="28"/>
        </w:rPr>
        <w:t>CHƯƠNG 1: CƠ SỞ LÝ THUYẾT MẠNG NƠ-RON ĐỒ THỊ</w:t>
      </w:r>
    </w:p>
    <w:p>
      <w:pPr>
        <w:pStyle w:val="Heading2"/>
        <w:keepNext/>
        <w:spacing w:before="240" w:after="120"/>
      </w:pPr>
      <w:r>
        <w:rPr>
          <w:rFonts w:ascii="Times New Roman" w:hAnsi="Times New Roman"/>
          <w:b/>
          <w:color w:val="000000"/>
          <w:sz w:val="26"/>
        </w:rPr>
        <w:t>1.1. Khái quát về mạng nơ-ron đồ thị (GNN)</w:t>
      </w:r>
    </w:p>
    <w:p>
      <w:pPr>
        <w:spacing w:line="312" w:lineRule="auto" w:after="120"/>
        <w:ind w:firstLine="720"/>
        <w:jc w:val="both"/>
      </w:pPr>
      <w:r>
        <w:rPr>
          <w:rFonts w:ascii="Times New Roman" w:hAnsi="Times New Roman"/>
          <w:i w:val="0"/>
        </w:rPr>
        <w:t>Mạng nơ-ron đồ thị (Graph Neural Networks - GNN) là một lớp mạng học sâu được thiết kế để xử lý dữ liệu biểu diễn dưới dạng cấu trúc đồ thị G = (V, E), với V là tập hợp các đỉnh (Nodes) và E là tập hợp các cạnh (Edges). Khác với các mô hình CNN (xử lý lưới pixel 2D tuần tự) hay RNN (xử lý chuỗi 1D), GNN có khả năng học các biểu diễn đặc trưng phi tuyến từ các cấu trúc liên kết tùy ý thông qua cơ chế lan truyền thông điệp (Message Passing).</w:t>
      </w:r>
    </w:p>
    <w:p>
      <w:pPr>
        <w:pStyle w:val="Heading2"/>
        <w:keepNext/>
        <w:spacing w:before="240" w:after="120"/>
      </w:pPr>
      <w:r>
        <w:rPr>
          <w:rFonts w:ascii="Times New Roman" w:hAnsi="Times New Roman"/>
          <w:b/>
          <w:color w:val="000000"/>
          <w:sz w:val="26"/>
        </w:rPr>
        <w:t>1.2. Kiến trúc GraphSAGE (SAGEConv)</w:t>
      </w:r>
    </w:p>
    <w:p>
      <w:pPr>
        <w:spacing w:line="312" w:lineRule="auto" w:after="120"/>
        <w:ind w:firstLine="720"/>
        <w:jc w:val="both"/>
      </w:pPr>
      <w:r>
        <w:rPr>
          <w:rFonts w:ascii="Times New Roman" w:hAnsi="Times New Roman"/>
          <w:i w:val="0"/>
        </w:rPr>
        <w:t>GraphSAGE (Sample and Aggregate) là một trong những kiến trúc GNN phổ biến và mạnh mẽ nhất hiện nay. Thay vì huấn luyện trên toàn bộ đồ thị lớn vốn gây tốn bộ nhớ, GraphSAGE học một hàm tổng hợp (Aggregation function) cho phép lan truyền và cập nhật đặc trưng cục bộ từ các đỉnh lân cận trực tiếp. Công thức cập nhật trạng thái của nút v tại tầng thứ k được biểu diễn như sau:</w:t>
      </w:r>
    </w:p>
    <w:p>
      <w:pPr>
        <w:jc w:val="center"/>
      </w:pPr>
      <w:r>
        <w:rPr>
          <w:b/>
          <w:i/>
          <w:sz w:val="24"/>
        </w:rPr>
        <w:t>h_v^(k) = W_1^(k) · h_v^(k-1) + W_2^(k) · Aggregate({ h_u^(k-1), ∀u ∈ N(v) })</w:t>
      </w:r>
    </w:p>
    <w:p>
      <w:pPr>
        <w:spacing w:line="312" w:lineRule="auto" w:after="120"/>
        <w:ind w:firstLine="720"/>
        <w:jc w:val="both"/>
      </w:pPr>
      <w:r>
        <w:rPr>
          <w:rFonts w:ascii="Times New Roman" w:hAnsi="Times New Roman"/>
          <w:i w:val="0"/>
        </w:rPr>
        <w:t>Trong đó, h_v^(k) là vector đặc trưng biểu diễn của đỉnh v ở tầng thứ k; N(v) là tập hợp các đỉnh lân cận trực tiếp của đỉnh v; W_1^(k) và W_2^(k) là các ma trận trọng số khả vi cần tối ưu hóa; và Aggregate là hàm tổng hợp thông tin lân cận (trong đề xuất này sử dụng hàm lấy trung bình cộng - Mean Aggregator).</w:t>
      </w:r>
    </w:p>
    <w:p>
      <w:pPr>
        <w:pStyle w:val="Heading1"/>
        <w:keepNext/>
        <w:spacing w:before="240" w:after="120"/>
      </w:pPr>
      <w:r>
        <w:rPr>
          <w:rFonts w:ascii="Times New Roman" w:hAnsi="Times New Roman"/>
          <w:b/>
          <w:color w:val="000000"/>
          <w:sz w:val="28"/>
        </w:rPr>
        <w:t>CHƯƠNG 2: KIẾN TRÚC MÔ HÌNH INTEGRALGNN ĐỀ XUẤT</w:t>
      </w:r>
    </w:p>
    <w:p>
      <w:pPr>
        <w:pStyle w:val="Heading2"/>
        <w:keepNext/>
        <w:spacing w:before="240" w:after="120"/>
      </w:pPr>
      <w:r>
        <w:rPr>
          <w:rFonts w:ascii="Times New Roman" w:hAnsi="Times New Roman"/>
          <w:b/>
          <w:color w:val="000000"/>
          <w:sz w:val="26"/>
        </w:rPr>
        <w:t>2.1. Quy trình biểu diễn đồ thị từ biểu thức tích phân</w:t>
      </w:r>
    </w:p>
    <w:p>
      <w:pPr>
        <w:spacing w:line="312" w:lineRule="auto" w:after="120"/>
        <w:ind w:firstLine="720"/>
        <w:jc w:val="both"/>
      </w:pPr>
      <w:r>
        <w:rPr>
          <w:rFonts w:ascii="Times New Roman" w:hAnsi="Times New Roman"/>
          <w:i w:val="0"/>
        </w:rPr>
        <w:t>Biểu thức tích phân đầu vào ở định dạng LaTeX sẽ được phân tích cú pháp để xây dựng Cây cú pháp trừu tượng (Abstract Syntax Tree - AST). Cấu trúc cây phân cấp này phản ánh chính xác trình tự ưu tiên của các toán tử toán học. Từ cây AST, ta tiến hành ánh xạ sang đồ thị vô hướng đầu vào cho mô hình GNN như sau:</w:t>
      </w:r>
    </w:p>
    <w:p>
      <w:pPr>
        <w:spacing w:line="312" w:lineRule="auto" w:after="120"/>
        <w:ind w:firstLine="720"/>
        <w:jc w:val="both"/>
      </w:pPr>
      <w:r>
        <w:rPr>
          <w:rFonts w:ascii="Times New Roman" w:hAnsi="Times New Roman"/>
          <w:b/>
        </w:rPr>
        <w:t xml:space="preserve">* Định nghĩa Đỉnh: </w:t>
      </w:r>
      <w:r>
        <w:rPr>
          <w:rFonts w:ascii="Times New Roman" w:hAnsi="Times New Roman"/>
          <w:i w:val="0"/>
        </w:rPr>
        <w:t>1. Các toán tử (như cộng, nhân, phân số) và toán hạng (biến số, hằng số) đóng vai trò là các đỉnh (Nodes) của đồ thị.</w:t>
      </w:r>
    </w:p>
    <w:p>
      <w:pPr>
        <w:spacing w:line="312" w:lineRule="auto" w:after="120"/>
        <w:ind w:firstLine="720"/>
        <w:jc w:val="both"/>
      </w:pPr>
      <w:r>
        <w:rPr>
          <w:rFonts w:ascii="Times New Roman" w:hAnsi="Times New Roman"/>
          <w:b/>
        </w:rPr>
        <w:t xml:space="preserve">* Định nghĩa Cạnh: </w:t>
      </w:r>
      <w:r>
        <w:rPr>
          <w:rFonts w:ascii="Times New Roman" w:hAnsi="Times New Roman"/>
          <w:i w:val="0"/>
        </w:rPr>
        <w:t>2. Liên kết cha-con trong cây AST được chuyển đổi thành các liên kết vô hướng (hai chiều) giữa các đỉnh nhằm cho phép thông điệp thông tin lan truyền đa hướng.</w:t>
      </w:r>
    </w:p>
    <w:p>
      <w:pPr>
        <w:pStyle w:val="Heading2"/>
        <w:keepNext/>
        <w:spacing w:before="240" w:after="120"/>
      </w:pPr>
      <w:r>
        <w:rPr>
          <w:rFonts w:ascii="Times New Roman" w:hAnsi="Times New Roman"/>
          <w:b/>
          <w:color w:val="000000"/>
          <w:sz w:val="26"/>
        </w:rPr>
        <w:t>2.2. Mã hóa đặc trưng đỉnh (Node Features)</w:t>
      </w:r>
    </w:p>
    <w:p>
      <w:pPr>
        <w:spacing w:line="312" w:lineRule="auto" w:after="120"/>
        <w:ind w:firstLine="720"/>
        <w:jc w:val="both"/>
      </w:pPr>
      <w:r>
        <w:rPr>
          <w:rFonts w:ascii="Times New Roman" w:hAnsi="Times New Roman"/>
          <w:i w:val="0"/>
        </w:rPr>
        <w:t>Để mô hình GNN phân biệt được ngữ nghĩa toán học của từng đỉnh, ta định nghĩa một từ điển bao gồm 14 kiểu đỉnh (Node vocabulary). Mỗi đỉnh sẽ được biểu diễn bởi một vector đặc trưng One-hot kích thước 14 chiều (D = 14). Chi tiết bảng từ vựng và mã hóa được mô tả tại Bảng 2.1 dưới đây.</w:t>
      </w:r>
    </w:p>
    <w:tbl>
      <w:tblPr>
        <w:tblW w:type="auto" w:w="0"/>
        <w:jc w:val="center"/>
        <w:tblLook w:firstColumn="1" w:firstRow="1" w:lastColumn="0" w:lastRow="0" w:noHBand="0" w:noVBand="1" w:val="04A0"/>
      </w:tblPr>
      <w:tblGrid>
        <w:gridCol w:w="3134"/>
        <w:gridCol w:w="3134"/>
        <w:gridCol w:w="3134"/>
      </w:tblGrid>
      <w:tr>
        <w:tc>
          <w:tcPr>
            <w:tcW w:type="dxa" w:w="3134"/>
            <w:shd w:fill="1F4E79"/>
            <w:tcMar>
              <w:top w:w="120" w:type="dxa"/>
              <w:bottom w:w="120" w:type="dxa"/>
              <w:left w:w="150" w:type="dxa"/>
              <w:right w:w="150" w:type="dxa"/>
            </w:tcMar>
          </w:tcPr>
          <w:p>
            <w:pPr>
              <w:jc w:val="center"/>
            </w:pPr>
            <w:r>
              <w:rPr>
                <w:b/>
                <w:color w:val="FFFFFF"/>
                <w:sz w:val="22"/>
              </w:rPr>
              <w:t>Chỉ số (Index)</w:t>
            </w:r>
          </w:p>
        </w:tc>
        <w:tc>
          <w:tcPr>
            <w:tcW w:type="dxa" w:w="3134"/>
            <w:shd w:fill="1F4E79"/>
            <w:tcMar>
              <w:top w:w="120" w:type="dxa"/>
              <w:bottom w:w="120" w:type="dxa"/>
              <w:left w:w="150" w:type="dxa"/>
              <w:right w:w="150" w:type="dxa"/>
            </w:tcMar>
          </w:tcPr>
          <w:p>
            <w:pPr>
              <w:jc w:val="center"/>
            </w:pPr>
            <w:r>
              <w:rPr>
                <w:b/>
                <w:color w:val="FFFFFF"/>
                <w:sz w:val="22"/>
              </w:rPr>
              <w:t>Kiểu đỉnh (Node Type)</w:t>
            </w:r>
          </w:p>
        </w:tc>
        <w:tc>
          <w:tcPr>
            <w:tcW w:type="dxa" w:w="3134"/>
            <w:shd w:fill="1F4E79"/>
            <w:tcMar>
              <w:top w:w="120" w:type="dxa"/>
              <w:bottom w:w="120" w:type="dxa"/>
              <w:left w:w="150" w:type="dxa"/>
              <w:right w:w="150" w:type="dxa"/>
            </w:tcMar>
          </w:tcPr>
          <w:p>
            <w:pPr>
              <w:jc w:val="center"/>
            </w:pPr>
            <w:r>
              <w:rPr>
                <w:b/>
                <w:color w:val="FFFFFF"/>
                <w:sz w:val="22"/>
              </w:rPr>
              <w:t>Ý nghĩa toán học</w:t>
            </w:r>
          </w:p>
        </w:tc>
      </w:tr>
      <w:tr>
        <w:tc>
          <w:tcPr>
            <w:tcW w:type="dxa" w:w="3134"/>
            <w:tcMar>
              <w:top w:w="80" w:type="dxa"/>
              <w:bottom w:w="80" w:type="dxa"/>
              <w:left w:w="150" w:type="dxa"/>
              <w:right w:w="150" w:type="dxa"/>
            </w:tcMar>
          </w:tcPr>
          <w:p>
            <w:pPr>
              <w:jc w:val="center"/>
            </w:pPr>
            <w:r>
              <w:rPr>
                <w:sz w:val="20"/>
              </w:rPr>
              <w:t>0</w:t>
            </w:r>
          </w:p>
        </w:tc>
        <w:tc>
          <w:tcPr>
            <w:tcW w:type="dxa" w:w="3134"/>
            <w:tcMar>
              <w:top w:w="80" w:type="dxa"/>
              <w:bottom w:w="80" w:type="dxa"/>
              <w:left w:w="150" w:type="dxa"/>
              <w:right w:w="150" w:type="dxa"/>
            </w:tcMar>
          </w:tcPr>
          <w:p>
            <w:pPr>
              <w:jc w:val="left"/>
            </w:pPr>
            <w:r>
              <w:rPr>
                <w:sz w:val="20"/>
              </w:rPr>
              <w:t>VarExprNode</w:t>
            </w:r>
          </w:p>
        </w:tc>
        <w:tc>
          <w:tcPr>
            <w:tcW w:type="dxa" w:w="3134"/>
            <w:tcMar>
              <w:top w:w="80" w:type="dxa"/>
              <w:bottom w:w="80" w:type="dxa"/>
              <w:left w:w="150" w:type="dxa"/>
              <w:right w:w="150" w:type="dxa"/>
            </w:tcMar>
          </w:tcPr>
          <w:p>
            <w:pPr>
              <w:jc w:val="left"/>
            </w:pPr>
            <w:r>
              <w:rPr>
                <w:sz w:val="20"/>
              </w:rPr>
              <w:t>Biến số tự do (ví dụ: x)</w:t>
            </w:r>
          </w:p>
        </w:tc>
      </w:tr>
      <w:tr>
        <w:tc>
          <w:tcPr>
            <w:tcW w:type="dxa" w:w="3134"/>
            <w:tcMar>
              <w:top w:w="80" w:type="dxa"/>
              <w:bottom w:w="80" w:type="dxa"/>
              <w:left w:w="150" w:type="dxa"/>
              <w:right w:w="150" w:type="dxa"/>
            </w:tcMar>
            <w:shd w:fill="F2F2F2"/>
          </w:tcPr>
          <w:p>
            <w:pPr>
              <w:jc w:val="center"/>
            </w:pPr>
            <w:r>
              <w:rPr>
                <w:sz w:val="20"/>
              </w:rPr>
              <w:t>1</w:t>
            </w:r>
          </w:p>
        </w:tc>
        <w:tc>
          <w:tcPr>
            <w:tcW w:type="dxa" w:w="3134"/>
            <w:tcMar>
              <w:top w:w="80" w:type="dxa"/>
              <w:bottom w:w="80" w:type="dxa"/>
              <w:left w:w="150" w:type="dxa"/>
              <w:right w:w="150" w:type="dxa"/>
            </w:tcMar>
            <w:shd w:fill="F2F2F2"/>
          </w:tcPr>
          <w:p>
            <w:pPr>
              <w:jc w:val="left"/>
            </w:pPr>
            <w:r>
              <w:rPr>
                <w:sz w:val="20"/>
              </w:rPr>
              <w:t>ConstExprNode</w:t>
            </w:r>
          </w:p>
        </w:tc>
        <w:tc>
          <w:tcPr>
            <w:tcW w:type="dxa" w:w="3134"/>
            <w:tcMar>
              <w:top w:w="80" w:type="dxa"/>
              <w:bottom w:w="80" w:type="dxa"/>
              <w:left w:w="150" w:type="dxa"/>
              <w:right w:w="150" w:type="dxa"/>
            </w:tcMar>
            <w:shd w:fill="F2F2F2"/>
          </w:tcPr>
          <w:p>
            <w:pPr>
              <w:jc w:val="left"/>
            </w:pPr>
            <w:r>
              <w:rPr>
                <w:sz w:val="20"/>
              </w:rPr>
              <w:t>Hằng số tự do (ví dụ: c, 1, 2)</w:t>
            </w:r>
          </w:p>
        </w:tc>
      </w:tr>
      <w:tr>
        <w:tc>
          <w:tcPr>
            <w:tcW w:type="dxa" w:w="3134"/>
            <w:tcMar>
              <w:top w:w="80" w:type="dxa"/>
              <w:bottom w:w="80" w:type="dxa"/>
              <w:left w:w="150" w:type="dxa"/>
              <w:right w:w="150" w:type="dxa"/>
            </w:tcMar>
          </w:tcPr>
          <w:p>
            <w:pPr>
              <w:jc w:val="center"/>
            </w:pPr>
            <w:r>
              <w:rPr>
                <w:sz w:val="20"/>
              </w:rPr>
              <w:t>2</w:t>
            </w:r>
          </w:p>
        </w:tc>
        <w:tc>
          <w:tcPr>
            <w:tcW w:type="dxa" w:w="3134"/>
            <w:tcMar>
              <w:top w:w="80" w:type="dxa"/>
              <w:bottom w:w="80" w:type="dxa"/>
              <w:left w:w="150" w:type="dxa"/>
              <w:right w:w="150" w:type="dxa"/>
            </w:tcMar>
          </w:tcPr>
          <w:p>
            <w:pPr>
              <w:jc w:val="left"/>
            </w:pPr>
            <w:r>
              <w:rPr>
                <w:sz w:val="20"/>
              </w:rPr>
              <w:t>AddExprNode</w:t>
            </w:r>
          </w:p>
        </w:tc>
        <w:tc>
          <w:tcPr>
            <w:tcW w:type="dxa" w:w="3134"/>
            <w:tcMar>
              <w:top w:w="80" w:type="dxa"/>
              <w:bottom w:w="80" w:type="dxa"/>
              <w:left w:w="150" w:type="dxa"/>
              <w:right w:w="150" w:type="dxa"/>
            </w:tcMar>
          </w:tcPr>
          <w:p>
            <w:pPr>
              <w:jc w:val="left"/>
            </w:pPr>
            <w:r>
              <w:rPr>
                <w:sz w:val="20"/>
              </w:rPr>
              <w:t>Toán tử phép cộng (+)</w:t>
            </w:r>
          </w:p>
        </w:tc>
      </w:tr>
      <w:tr>
        <w:tc>
          <w:tcPr>
            <w:tcW w:type="dxa" w:w="3134"/>
            <w:tcMar>
              <w:top w:w="80" w:type="dxa"/>
              <w:bottom w:w="80" w:type="dxa"/>
              <w:left w:w="150" w:type="dxa"/>
              <w:right w:w="150" w:type="dxa"/>
            </w:tcMar>
            <w:shd w:fill="F2F2F2"/>
          </w:tcPr>
          <w:p>
            <w:pPr>
              <w:jc w:val="center"/>
            </w:pPr>
            <w:r>
              <w:rPr>
                <w:sz w:val="20"/>
              </w:rPr>
              <w:t>3</w:t>
            </w:r>
          </w:p>
        </w:tc>
        <w:tc>
          <w:tcPr>
            <w:tcW w:type="dxa" w:w="3134"/>
            <w:tcMar>
              <w:top w:w="80" w:type="dxa"/>
              <w:bottom w:w="80" w:type="dxa"/>
              <w:left w:w="150" w:type="dxa"/>
              <w:right w:w="150" w:type="dxa"/>
            </w:tcMar>
            <w:shd w:fill="F2F2F2"/>
          </w:tcPr>
          <w:p>
            <w:pPr>
              <w:jc w:val="left"/>
            </w:pPr>
            <w:r>
              <w:rPr>
                <w:sz w:val="20"/>
              </w:rPr>
              <w:t>SubExprNode</w:t>
            </w:r>
          </w:p>
        </w:tc>
        <w:tc>
          <w:tcPr>
            <w:tcW w:type="dxa" w:w="3134"/>
            <w:tcMar>
              <w:top w:w="80" w:type="dxa"/>
              <w:bottom w:w="80" w:type="dxa"/>
              <w:left w:w="150" w:type="dxa"/>
              <w:right w:w="150" w:type="dxa"/>
            </w:tcMar>
            <w:shd w:fill="F2F2F2"/>
          </w:tcPr>
          <w:p>
            <w:pPr>
              <w:jc w:val="left"/>
            </w:pPr>
            <w:r>
              <w:rPr>
                <w:sz w:val="20"/>
              </w:rPr>
              <w:t>Toán tử phép trừ (-)</w:t>
            </w:r>
          </w:p>
        </w:tc>
      </w:tr>
      <w:tr>
        <w:tc>
          <w:tcPr>
            <w:tcW w:type="dxa" w:w="3134"/>
            <w:tcMar>
              <w:top w:w="80" w:type="dxa"/>
              <w:bottom w:w="80" w:type="dxa"/>
              <w:left w:w="150" w:type="dxa"/>
              <w:right w:w="150" w:type="dxa"/>
            </w:tcMar>
          </w:tcPr>
          <w:p>
            <w:pPr>
              <w:jc w:val="center"/>
            </w:pPr>
            <w:r>
              <w:rPr>
                <w:sz w:val="20"/>
              </w:rPr>
              <w:t>4</w:t>
            </w:r>
          </w:p>
        </w:tc>
        <w:tc>
          <w:tcPr>
            <w:tcW w:type="dxa" w:w="3134"/>
            <w:tcMar>
              <w:top w:w="80" w:type="dxa"/>
              <w:bottom w:w="80" w:type="dxa"/>
              <w:left w:w="150" w:type="dxa"/>
              <w:right w:w="150" w:type="dxa"/>
            </w:tcMar>
          </w:tcPr>
          <w:p>
            <w:pPr>
              <w:jc w:val="left"/>
            </w:pPr>
            <w:r>
              <w:rPr>
                <w:sz w:val="20"/>
              </w:rPr>
              <w:t>MulExprNode</w:t>
            </w:r>
          </w:p>
        </w:tc>
        <w:tc>
          <w:tcPr>
            <w:tcW w:type="dxa" w:w="3134"/>
            <w:tcMar>
              <w:top w:w="80" w:type="dxa"/>
              <w:bottom w:w="80" w:type="dxa"/>
              <w:left w:w="150" w:type="dxa"/>
              <w:right w:w="150" w:type="dxa"/>
            </w:tcMar>
          </w:tcPr>
          <w:p>
            <w:pPr>
              <w:jc w:val="left"/>
            </w:pPr>
            <w:r>
              <w:rPr>
                <w:sz w:val="20"/>
              </w:rPr>
              <w:t>Toán tử phép nhân (*)</w:t>
            </w:r>
          </w:p>
        </w:tc>
      </w:tr>
      <w:tr>
        <w:tc>
          <w:tcPr>
            <w:tcW w:type="dxa" w:w="3134"/>
            <w:tcMar>
              <w:top w:w="80" w:type="dxa"/>
              <w:bottom w:w="80" w:type="dxa"/>
              <w:left w:w="150" w:type="dxa"/>
              <w:right w:w="150" w:type="dxa"/>
            </w:tcMar>
            <w:shd w:fill="F2F2F2"/>
          </w:tcPr>
          <w:p>
            <w:pPr>
              <w:jc w:val="center"/>
            </w:pPr>
            <w:r>
              <w:rPr>
                <w:sz w:val="20"/>
              </w:rPr>
              <w:t>5</w:t>
            </w:r>
          </w:p>
        </w:tc>
        <w:tc>
          <w:tcPr>
            <w:tcW w:type="dxa" w:w="3134"/>
            <w:tcMar>
              <w:top w:w="80" w:type="dxa"/>
              <w:bottom w:w="80" w:type="dxa"/>
              <w:left w:w="150" w:type="dxa"/>
              <w:right w:w="150" w:type="dxa"/>
            </w:tcMar>
            <w:shd w:fill="F2F2F2"/>
          </w:tcPr>
          <w:p>
            <w:pPr>
              <w:jc w:val="left"/>
            </w:pPr>
            <w:r>
              <w:rPr>
                <w:sz w:val="20"/>
              </w:rPr>
              <w:t>FracExprNode</w:t>
            </w:r>
          </w:p>
        </w:tc>
        <w:tc>
          <w:tcPr>
            <w:tcW w:type="dxa" w:w="3134"/>
            <w:tcMar>
              <w:top w:w="80" w:type="dxa"/>
              <w:bottom w:w="80" w:type="dxa"/>
              <w:left w:w="150" w:type="dxa"/>
              <w:right w:w="150" w:type="dxa"/>
            </w:tcMar>
            <w:shd w:fill="F2F2F2"/>
          </w:tcPr>
          <w:p>
            <w:pPr>
              <w:jc w:val="left"/>
            </w:pPr>
            <w:r>
              <w:rPr>
                <w:sz w:val="20"/>
              </w:rPr>
              <w:t>Phép toán chia / phân số (/)</w:t>
            </w:r>
          </w:p>
        </w:tc>
      </w:tr>
      <w:tr>
        <w:tc>
          <w:tcPr>
            <w:tcW w:type="dxa" w:w="3134"/>
            <w:tcMar>
              <w:top w:w="80" w:type="dxa"/>
              <w:bottom w:w="80" w:type="dxa"/>
              <w:left w:w="150" w:type="dxa"/>
              <w:right w:w="150" w:type="dxa"/>
            </w:tcMar>
          </w:tcPr>
          <w:p>
            <w:pPr>
              <w:jc w:val="center"/>
            </w:pPr>
            <w:r>
              <w:rPr>
                <w:sz w:val="20"/>
              </w:rPr>
              <w:t>6</w:t>
            </w:r>
          </w:p>
        </w:tc>
        <w:tc>
          <w:tcPr>
            <w:tcW w:type="dxa" w:w="3134"/>
            <w:tcMar>
              <w:top w:w="80" w:type="dxa"/>
              <w:bottom w:w="80" w:type="dxa"/>
              <w:left w:w="150" w:type="dxa"/>
              <w:right w:w="150" w:type="dxa"/>
            </w:tcMar>
          </w:tcPr>
          <w:p>
            <w:pPr>
              <w:jc w:val="left"/>
            </w:pPr>
            <w:r>
              <w:rPr>
                <w:sz w:val="20"/>
              </w:rPr>
              <w:t>PowerExprNode</w:t>
            </w:r>
          </w:p>
        </w:tc>
        <w:tc>
          <w:tcPr>
            <w:tcW w:type="dxa" w:w="3134"/>
            <w:tcMar>
              <w:top w:w="80" w:type="dxa"/>
              <w:bottom w:w="80" w:type="dxa"/>
              <w:left w:w="150" w:type="dxa"/>
              <w:right w:w="150" w:type="dxa"/>
            </w:tcMar>
          </w:tcPr>
          <w:p>
            <w:pPr>
              <w:jc w:val="left"/>
            </w:pPr>
            <w:r>
              <w:rPr>
                <w:sz w:val="20"/>
              </w:rPr>
              <w:t>Toán lũy thừa (x^n)</w:t>
            </w:r>
          </w:p>
        </w:tc>
      </w:tr>
      <w:tr>
        <w:tc>
          <w:tcPr>
            <w:tcW w:type="dxa" w:w="3134"/>
            <w:tcMar>
              <w:top w:w="80" w:type="dxa"/>
              <w:bottom w:w="80" w:type="dxa"/>
              <w:left w:w="150" w:type="dxa"/>
              <w:right w:w="150" w:type="dxa"/>
            </w:tcMar>
            <w:shd w:fill="F2F2F2"/>
          </w:tcPr>
          <w:p>
            <w:pPr>
              <w:jc w:val="center"/>
            </w:pPr>
            <w:r>
              <w:rPr>
                <w:sz w:val="20"/>
              </w:rPr>
              <w:t>7</w:t>
            </w:r>
          </w:p>
        </w:tc>
        <w:tc>
          <w:tcPr>
            <w:tcW w:type="dxa" w:w="3134"/>
            <w:tcMar>
              <w:top w:w="80" w:type="dxa"/>
              <w:bottom w:w="80" w:type="dxa"/>
              <w:left w:w="150" w:type="dxa"/>
              <w:right w:w="150" w:type="dxa"/>
            </w:tcMar>
            <w:shd w:fill="F2F2F2"/>
          </w:tcPr>
          <w:p>
            <w:pPr>
              <w:jc w:val="left"/>
            </w:pPr>
            <w:r>
              <w:rPr>
                <w:sz w:val="20"/>
              </w:rPr>
              <w:t>MonoExprNode</w:t>
            </w:r>
          </w:p>
        </w:tc>
        <w:tc>
          <w:tcPr>
            <w:tcW w:type="dxa" w:w="3134"/>
            <w:tcMar>
              <w:top w:w="80" w:type="dxa"/>
              <w:bottom w:w="80" w:type="dxa"/>
              <w:left w:w="150" w:type="dxa"/>
              <w:right w:w="150" w:type="dxa"/>
            </w:tcMar>
            <w:shd w:fill="F2F2F2"/>
          </w:tcPr>
          <w:p>
            <w:pPr>
              <w:jc w:val="left"/>
            </w:pPr>
            <w:r>
              <w:rPr>
                <w:sz w:val="20"/>
              </w:rPr>
              <w:t>Hàm đơn thức (ax^b)</w:t>
            </w:r>
          </w:p>
        </w:tc>
      </w:tr>
      <w:tr>
        <w:tc>
          <w:tcPr>
            <w:tcW w:type="dxa" w:w="3134"/>
            <w:tcMar>
              <w:top w:w="80" w:type="dxa"/>
              <w:bottom w:w="80" w:type="dxa"/>
              <w:left w:w="150" w:type="dxa"/>
              <w:right w:w="150" w:type="dxa"/>
            </w:tcMar>
          </w:tcPr>
          <w:p>
            <w:pPr>
              <w:jc w:val="center"/>
            </w:pPr>
            <w:r>
              <w:rPr>
                <w:sz w:val="20"/>
              </w:rPr>
              <w:t>8</w:t>
            </w:r>
          </w:p>
        </w:tc>
        <w:tc>
          <w:tcPr>
            <w:tcW w:type="dxa" w:w="3134"/>
            <w:tcMar>
              <w:top w:w="80" w:type="dxa"/>
              <w:bottom w:w="80" w:type="dxa"/>
              <w:left w:w="150" w:type="dxa"/>
              <w:right w:w="150" w:type="dxa"/>
            </w:tcMar>
          </w:tcPr>
          <w:p>
            <w:pPr>
              <w:jc w:val="left"/>
            </w:pPr>
            <w:r>
              <w:rPr>
                <w:sz w:val="20"/>
              </w:rPr>
              <w:t>SqrtExprNode</w:t>
            </w:r>
          </w:p>
        </w:tc>
        <w:tc>
          <w:tcPr>
            <w:tcW w:type="dxa" w:w="3134"/>
            <w:tcMar>
              <w:top w:w="80" w:type="dxa"/>
              <w:bottom w:w="80" w:type="dxa"/>
              <w:left w:w="150" w:type="dxa"/>
              <w:right w:w="150" w:type="dxa"/>
            </w:tcMar>
          </w:tcPr>
          <w:p>
            <w:pPr>
              <w:jc w:val="left"/>
            </w:pPr>
            <w:r>
              <w:rPr>
                <w:sz w:val="20"/>
              </w:rPr>
              <w:t>Phép lấy căn bậc hai (sqrt)</w:t>
            </w:r>
          </w:p>
        </w:tc>
      </w:tr>
      <w:tr>
        <w:tc>
          <w:tcPr>
            <w:tcW w:type="dxa" w:w="3134"/>
            <w:tcMar>
              <w:top w:w="80" w:type="dxa"/>
              <w:bottom w:w="80" w:type="dxa"/>
              <w:left w:w="150" w:type="dxa"/>
              <w:right w:w="150" w:type="dxa"/>
            </w:tcMar>
            <w:shd w:fill="F2F2F2"/>
          </w:tcPr>
          <w:p>
            <w:pPr>
              <w:jc w:val="center"/>
            </w:pPr>
            <w:r>
              <w:rPr>
                <w:sz w:val="20"/>
              </w:rPr>
              <w:t>9</w:t>
            </w:r>
          </w:p>
        </w:tc>
        <w:tc>
          <w:tcPr>
            <w:tcW w:type="dxa" w:w="3134"/>
            <w:tcMar>
              <w:top w:w="80" w:type="dxa"/>
              <w:bottom w:w="80" w:type="dxa"/>
              <w:left w:w="150" w:type="dxa"/>
              <w:right w:w="150" w:type="dxa"/>
            </w:tcMar>
            <w:shd w:fill="F2F2F2"/>
          </w:tcPr>
          <w:p>
            <w:pPr>
              <w:jc w:val="left"/>
            </w:pPr>
            <w:r>
              <w:rPr>
                <w:sz w:val="20"/>
              </w:rPr>
              <w:t>SinExprNode</w:t>
            </w:r>
          </w:p>
        </w:tc>
        <w:tc>
          <w:tcPr>
            <w:tcW w:type="dxa" w:w="3134"/>
            <w:tcMar>
              <w:top w:w="80" w:type="dxa"/>
              <w:bottom w:w="80" w:type="dxa"/>
              <w:left w:w="150" w:type="dxa"/>
              <w:right w:w="150" w:type="dxa"/>
            </w:tcMar>
            <w:shd w:fill="F2F2F2"/>
          </w:tcPr>
          <w:p>
            <w:pPr>
              <w:jc w:val="left"/>
            </w:pPr>
            <w:r>
              <w:rPr>
                <w:sz w:val="20"/>
              </w:rPr>
              <w:t>Hàm lượng giác sin(x)</w:t>
            </w:r>
          </w:p>
        </w:tc>
      </w:tr>
      <w:tr>
        <w:tc>
          <w:tcPr>
            <w:tcW w:type="dxa" w:w="3134"/>
            <w:tcMar>
              <w:top w:w="80" w:type="dxa"/>
              <w:bottom w:w="80" w:type="dxa"/>
              <w:left w:w="150" w:type="dxa"/>
              <w:right w:w="150" w:type="dxa"/>
            </w:tcMar>
          </w:tcPr>
          <w:p>
            <w:pPr>
              <w:jc w:val="center"/>
            </w:pPr>
            <w:r>
              <w:rPr>
                <w:sz w:val="20"/>
              </w:rPr>
              <w:t>10</w:t>
            </w:r>
          </w:p>
        </w:tc>
        <w:tc>
          <w:tcPr>
            <w:tcW w:type="dxa" w:w="3134"/>
            <w:tcMar>
              <w:top w:w="80" w:type="dxa"/>
              <w:bottom w:w="80" w:type="dxa"/>
              <w:left w:w="150" w:type="dxa"/>
              <w:right w:w="150" w:type="dxa"/>
            </w:tcMar>
          </w:tcPr>
          <w:p>
            <w:pPr>
              <w:jc w:val="left"/>
            </w:pPr>
            <w:r>
              <w:rPr>
                <w:sz w:val="20"/>
              </w:rPr>
              <w:t>CosExprNode</w:t>
            </w:r>
          </w:p>
        </w:tc>
        <w:tc>
          <w:tcPr>
            <w:tcW w:type="dxa" w:w="3134"/>
            <w:tcMar>
              <w:top w:w="80" w:type="dxa"/>
              <w:bottom w:w="80" w:type="dxa"/>
              <w:left w:w="150" w:type="dxa"/>
              <w:right w:w="150" w:type="dxa"/>
            </w:tcMar>
          </w:tcPr>
          <w:p>
            <w:pPr>
              <w:jc w:val="left"/>
            </w:pPr>
            <w:r>
              <w:rPr>
                <w:sz w:val="20"/>
              </w:rPr>
              <w:t>Hàm lượng giác cos(x)</w:t>
            </w:r>
          </w:p>
        </w:tc>
      </w:tr>
      <w:tr>
        <w:tc>
          <w:tcPr>
            <w:tcW w:type="dxa" w:w="3134"/>
            <w:tcMar>
              <w:top w:w="80" w:type="dxa"/>
              <w:bottom w:w="80" w:type="dxa"/>
              <w:left w:w="150" w:type="dxa"/>
              <w:right w:w="150" w:type="dxa"/>
            </w:tcMar>
            <w:shd w:fill="F2F2F2"/>
          </w:tcPr>
          <w:p>
            <w:pPr>
              <w:jc w:val="center"/>
            </w:pPr>
            <w:r>
              <w:rPr>
                <w:sz w:val="20"/>
              </w:rPr>
              <w:t>11</w:t>
            </w:r>
          </w:p>
        </w:tc>
        <w:tc>
          <w:tcPr>
            <w:tcW w:type="dxa" w:w="3134"/>
            <w:tcMar>
              <w:top w:w="80" w:type="dxa"/>
              <w:bottom w:w="80" w:type="dxa"/>
              <w:left w:w="150" w:type="dxa"/>
              <w:right w:w="150" w:type="dxa"/>
            </w:tcMar>
            <w:shd w:fill="F2F2F2"/>
          </w:tcPr>
          <w:p>
            <w:pPr>
              <w:jc w:val="left"/>
            </w:pPr>
            <w:r>
              <w:rPr>
                <w:sz w:val="20"/>
              </w:rPr>
              <w:t>TanExprNode</w:t>
            </w:r>
          </w:p>
        </w:tc>
        <w:tc>
          <w:tcPr>
            <w:tcW w:type="dxa" w:w="3134"/>
            <w:tcMar>
              <w:top w:w="80" w:type="dxa"/>
              <w:bottom w:w="80" w:type="dxa"/>
              <w:left w:w="150" w:type="dxa"/>
              <w:right w:w="150" w:type="dxa"/>
            </w:tcMar>
            <w:shd w:fill="F2F2F2"/>
          </w:tcPr>
          <w:p>
            <w:pPr>
              <w:jc w:val="left"/>
            </w:pPr>
            <w:r>
              <w:rPr>
                <w:sz w:val="20"/>
              </w:rPr>
              <w:t>Hàm lượng giác tan(x)</w:t>
            </w:r>
          </w:p>
        </w:tc>
      </w:tr>
      <w:tr>
        <w:tc>
          <w:tcPr>
            <w:tcW w:type="dxa" w:w="3134"/>
            <w:tcMar>
              <w:top w:w="80" w:type="dxa"/>
              <w:bottom w:w="80" w:type="dxa"/>
              <w:left w:w="150" w:type="dxa"/>
              <w:right w:w="150" w:type="dxa"/>
            </w:tcMar>
          </w:tcPr>
          <w:p>
            <w:pPr>
              <w:jc w:val="center"/>
            </w:pPr>
            <w:r>
              <w:rPr>
                <w:sz w:val="20"/>
              </w:rPr>
              <w:t>12</w:t>
            </w:r>
          </w:p>
        </w:tc>
        <w:tc>
          <w:tcPr>
            <w:tcW w:type="dxa" w:w="3134"/>
            <w:tcMar>
              <w:top w:w="80" w:type="dxa"/>
              <w:bottom w:w="80" w:type="dxa"/>
              <w:left w:w="150" w:type="dxa"/>
              <w:right w:w="150" w:type="dxa"/>
            </w:tcMar>
          </w:tcPr>
          <w:p>
            <w:pPr>
              <w:jc w:val="left"/>
            </w:pPr>
            <w:r>
              <w:rPr>
                <w:sz w:val="20"/>
              </w:rPr>
              <w:t>ExpExprNode</w:t>
            </w:r>
          </w:p>
        </w:tc>
        <w:tc>
          <w:tcPr>
            <w:tcW w:type="dxa" w:w="3134"/>
            <w:tcMar>
              <w:top w:w="80" w:type="dxa"/>
              <w:bottom w:w="80" w:type="dxa"/>
              <w:left w:w="150" w:type="dxa"/>
              <w:right w:w="150" w:type="dxa"/>
            </w:tcMar>
          </w:tcPr>
          <w:p>
            <w:pPr>
              <w:jc w:val="left"/>
            </w:pPr>
            <w:r>
              <w:rPr>
                <w:sz w:val="20"/>
              </w:rPr>
              <w:t>Hàm mũ tự nhiên e^x</w:t>
            </w:r>
          </w:p>
        </w:tc>
      </w:tr>
      <w:tr>
        <w:tc>
          <w:tcPr>
            <w:tcW w:type="dxa" w:w="3134"/>
            <w:tcMar>
              <w:top w:w="80" w:type="dxa"/>
              <w:bottom w:w="80" w:type="dxa"/>
              <w:left w:w="150" w:type="dxa"/>
              <w:right w:w="150" w:type="dxa"/>
            </w:tcMar>
            <w:shd w:fill="F2F2F2"/>
          </w:tcPr>
          <w:p>
            <w:pPr>
              <w:jc w:val="center"/>
            </w:pPr>
            <w:r>
              <w:rPr>
                <w:sz w:val="20"/>
              </w:rPr>
              <w:t>13</w:t>
            </w:r>
          </w:p>
        </w:tc>
        <w:tc>
          <w:tcPr>
            <w:tcW w:type="dxa" w:w="3134"/>
            <w:tcMar>
              <w:top w:w="80" w:type="dxa"/>
              <w:bottom w:w="80" w:type="dxa"/>
              <w:left w:w="150" w:type="dxa"/>
              <w:right w:w="150" w:type="dxa"/>
            </w:tcMar>
            <w:shd w:fill="F2F2F2"/>
          </w:tcPr>
          <w:p>
            <w:pPr>
              <w:jc w:val="left"/>
            </w:pPr>
            <w:r>
              <w:rPr>
                <w:sz w:val="20"/>
              </w:rPr>
              <w:t>LogExprNode</w:t>
            </w:r>
          </w:p>
        </w:tc>
        <w:tc>
          <w:tcPr>
            <w:tcW w:type="dxa" w:w="3134"/>
            <w:tcMar>
              <w:top w:w="80" w:type="dxa"/>
              <w:bottom w:w="80" w:type="dxa"/>
              <w:left w:w="150" w:type="dxa"/>
              <w:right w:w="150" w:type="dxa"/>
            </w:tcMar>
            <w:shd w:fill="F2F2F2"/>
          </w:tcPr>
          <w:p>
            <w:pPr>
              <w:jc w:val="left"/>
            </w:pPr>
            <w:r>
              <w:rPr>
                <w:sz w:val="20"/>
              </w:rPr>
              <w:t>Hàm logarit tự nhiên ln(x)</w:t>
            </w:r>
          </w:p>
        </w:tc>
      </w:tr>
    </w:tbl>
    <w:p>
      <w:pPr>
        <w:spacing w:before="120" w:after="240"/>
        <w:jc w:val="center"/>
      </w:pPr>
      <w:r>
        <w:rPr>
          <w:i/>
          <w:sz w:val="22"/>
        </w:rPr>
        <w:t>Bảng 2.1: Từ điển mã hóa đặc trưng đỉnh (Node Features)</w:t>
      </w:r>
    </w:p>
    <w:p>
      <w:pPr>
        <w:pStyle w:val="Heading2"/>
        <w:keepNext/>
        <w:spacing w:before="240" w:after="120"/>
      </w:pPr>
      <w:r>
        <w:rPr>
          <w:rFonts w:ascii="Times New Roman" w:hAnsi="Times New Roman"/>
          <w:b/>
          <w:color w:val="000000"/>
          <w:sz w:val="26"/>
        </w:rPr>
        <w:t>2.3. Cấu trúc mạng học sâu đề xuất</w:t>
      </w:r>
    </w:p>
    <w:p>
      <w:pPr>
        <w:spacing w:line="312" w:lineRule="auto" w:after="120"/>
        <w:ind w:firstLine="720"/>
        <w:jc w:val="both"/>
      </w:pPr>
      <w:r>
        <w:rPr>
          <w:rFonts w:ascii="Times New Roman" w:hAnsi="Times New Roman"/>
          <w:i w:val="0"/>
        </w:rPr>
        <w:t>Mô hình IntegralGNN được xây dựng dựa trên sự kết hợp tuần tự của các tầng tích chập đồ thị, tầng pooling nén đặc trưng và các tầng tuyến tính đầy đủ:</w:t>
      </w:r>
    </w:p>
    <w:p>
      <w:pPr>
        <w:spacing w:line="312" w:lineRule="auto" w:after="120"/>
        <w:ind w:firstLine="720"/>
        <w:jc w:val="both"/>
      </w:pPr>
      <w:r>
        <w:rPr>
          <w:rFonts w:ascii="Times New Roman" w:hAnsi="Times New Roman"/>
          <w:b/>
        </w:rPr>
        <w:t xml:space="preserve">- Tầng tích chập 1: </w:t>
      </w:r>
      <w:r>
        <w:rPr>
          <w:rFonts w:ascii="Times New Roman" w:hAnsi="Times New Roman"/>
          <w:i w:val="0"/>
        </w:rPr>
        <w:t>1. SAGEConv Layer 1: Đầu vào có kích thước 14 (One-hot vector), kích thước ẩn 64. Áp dụng hàm kích hoạt ReLU.</w:t>
      </w:r>
    </w:p>
    <w:p>
      <w:pPr>
        <w:spacing w:line="312" w:lineRule="auto" w:after="120"/>
        <w:ind w:firstLine="720"/>
        <w:jc w:val="both"/>
      </w:pPr>
      <w:r>
        <w:rPr>
          <w:rFonts w:ascii="Times New Roman" w:hAnsi="Times New Roman"/>
          <w:b/>
        </w:rPr>
        <w:t xml:space="preserve">- Tầng tích chập 2: </w:t>
      </w:r>
      <w:r>
        <w:rPr>
          <w:rFonts w:ascii="Times New Roman" w:hAnsi="Times New Roman"/>
          <w:i w:val="0"/>
        </w:rPr>
        <w:t>2. SAGEConv Layer 2: Đầu vào ẩn 64, đầu ra ẩn 64. Áp dụng hàm kích hoạt ReLU.</w:t>
      </w:r>
    </w:p>
    <w:p>
      <w:pPr>
        <w:spacing w:line="312" w:lineRule="auto" w:after="120"/>
        <w:ind w:firstLine="720"/>
        <w:jc w:val="both"/>
      </w:pPr>
      <w:r>
        <w:rPr>
          <w:rFonts w:ascii="Times New Roman" w:hAnsi="Times New Roman"/>
          <w:b/>
        </w:rPr>
        <w:t xml:space="preserve">- Tầng tích chập 3: </w:t>
      </w:r>
      <w:r>
        <w:rPr>
          <w:rFonts w:ascii="Times New Roman" w:hAnsi="Times New Roman"/>
          <w:i w:val="0"/>
        </w:rPr>
        <w:t>3. SAGEConv Layer 3: Đầu vào ẩn 64, đầu ra ẩn 64. Áp dụng hàm kích hoạt ReLU. Việc xếp chồng 3 tầng tích chập giúp thu nhận thông tin cấu trúc AST trong bán kính 3 nút.</w:t>
      </w:r>
    </w:p>
    <w:p>
      <w:pPr>
        <w:spacing w:line="312" w:lineRule="auto" w:after="120"/>
        <w:ind w:firstLine="720"/>
        <w:jc w:val="both"/>
      </w:pPr>
      <w:r>
        <w:rPr>
          <w:rFonts w:ascii="Times New Roman" w:hAnsi="Times New Roman"/>
          <w:b/>
        </w:rPr>
        <w:t xml:space="preserve">- Tầng pooling toàn cục: </w:t>
      </w:r>
      <w:r>
        <w:rPr>
          <w:rFonts w:ascii="Times New Roman" w:hAnsi="Times New Roman"/>
          <w:i w:val="0"/>
        </w:rPr>
        <w:t>4. Global Mean Pooling: Gom tụm giá trị trung bình cộng đặc trưng ẩn của toàn bộ các nút trong đồ thị về một vector biểu diễn duy nhất kích thước 64.</w:t>
      </w:r>
    </w:p>
    <w:p>
      <w:pPr>
        <w:spacing w:line="312" w:lineRule="auto" w:after="120"/>
        <w:ind w:firstLine="720"/>
        <w:jc w:val="both"/>
      </w:pPr>
      <w:r>
        <w:rPr>
          <w:rFonts w:ascii="Times New Roman" w:hAnsi="Times New Roman"/>
          <w:b/>
        </w:rPr>
        <w:t xml:space="preserve">- Tầng phân loại đầu ra: </w:t>
      </w:r>
      <w:r>
        <w:rPr>
          <w:rFonts w:ascii="Times New Roman" w:hAnsi="Times New Roman"/>
          <w:i w:val="0"/>
        </w:rPr>
        <w:t>5. Dropout &amp; Output Linear Head: Áp dụng Dropout với tỷ lệ loại bỏ p = 0.5 để hạn chế quá khớp. Kết quả đi qua một tầng Fully Connected để xuất ra phân phối xác suất cho 5 hành động tích phân cần phân loại.</w:t>
      </w:r>
    </w:p>
    <w:p>
      <w:pPr>
        <w:pStyle w:val="Heading1"/>
        <w:keepNext/>
        <w:spacing w:before="240" w:after="120"/>
      </w:pPr>
      <w:r>
        <w:rPr>
          <w:rFonts w:ascii="Times New Roman" w:hAnsi="Times New Roman"/>
          <w:b/>
          <w:color w:val="000000"/>
          <w:sz w:val="28"/>
        </w:rPr>
        <w:t>CHƯƠNG 3: THỰC NGHIỆM VÀ ĐÁNH GIÁ</w:t>
      </w:r>
    </w:p>
    <w:p>
      <w:pPr>
        <w:pStyle w:val="Heading2"/>
        <w:keepNext/>
        <w:spacing w:before="240" w:after="120"/>
      </w:pPr>
      <w:r>
        <w:rPr>
          <w:rFonts w:ascii="Times New Roman" w:hAnsi="Times New Roman"/>
          <w:b/>
          <w:color w:val="000000"/>
          <w:sz w:val="26"/>
        </w:rPr>
        <w:t>3.1. Thiết lập thực nghiệm và siêu tham số</w:t>
      </w:r>
    </w:p>
    <w:p>
      <w:pPr>
        <w:spacing w:line="312" w:lineRule="auto" w:after="120"/>
        <w:ind w:firstLine="720"/>
        <w:jc w:val="both"/>
      </w:pPr>
      <w:r>
        <w:rPr>
          <w:rFonts w:ascii="Times New Roman" w:hAnsi="Times New Roman"/>
          <w:i w:val="0"/>
        </w:rPr>
        <w:t>Tập dữ liệu huấn luyện bao gồm 2.690 biểu thức đồ thị tích phân được phân chia ngẫu nhiên thành 80% cho tập huấn luyện (2.152 mẫu) và 20% cho tập kiểm thử (538 mẫu). Quá trình huấn luyện được thiết lập trên thiết bị phần cứng CPU/GPU thông qua framework PyTorch Geometric.</w:t>
      </w:r>
    </w:p>
    <w:p>
      <w:pPr>
        <w:spacing w:line="312" w:lineRule="auto" w:after="120"/>
        <w:ind w:firstLine="720"/>
        <w:jc w:val="both"/>
      </w:pPr>
      <w:r>
        <w:rPr>
          <w:rFonts w:ascii="Times New Roman" w:hAnsi="Times New Roman"/>
          <w:i w:val="0"/>
        </w:rPr>
        <w:t>Các siêu tham số tối ưu hóa được xác định bao gồm: Tốc độ học (Learning Rate) lr = 0.005; Thuật toán tối ưu hóa Adam Optimizer; Kích thước lô (Batch Size) = 64; Số lượng Epoch = 200. Hàm mất mát được sử dụng là CrossEntropyLoss có đi kèm với trọng số cân bằng lớp (Balanced Class Weights) để khắc phục tình trạng mất cân bằng dữ liệu nhãn trong thực tế.</w:t>
      </w:r>
    </w:p>
    <w:p>
      <w:pPr>
        <w:pStyle w:val="Heading2"/>
        <w:keepNext/>
        <w:spacing w:before="240" w:after="120"/>
      </w:pPr>
      <w:r>
        <w:rPr>
          <w:rFonts w:ascii="Times New Roman" w:hAnsi="Times New Roman"/>
          <w:b/>
          <w:color w:val="000000"/>
          <w:sz w:val="26"/>
        </w:rPr>
        <w:t>3.2. Tiến trình huấn luyện và đánh giá kết quả</w:t>
      </w:r>
    </w:p>
    <w:p>
      <w:pPr>
        <w:spacing w:line="312" w:lineRule="auto" w:after="120"/>
        <w:ind w:firstLine="720"/>
        <w:jc w:val="both"/>
      </w:pPr>
      <w:r>
        <w:rPr>
          <w:rFonts w:ascii="Times New Roman" w:hAnsi="Times New Roman"/>
          <w:i w:val="0"/>
        </w:rPr>
        <w:t>Hiệu năng của mô hình GNN được theo dõi chặt chẽ qua các epoch huấn luyện dựa trên độ lỗi Loss của tập huấn luyện, cùng Độ chính xác (Accuracy) và chỉ số F1-Macro trên tập kiểm thử độc lập. Tiến trình huấn luyện được chi tiết hóa ở Bảng 3.1 dưới đây.</w:t>
      </w:r>
    </w:p>
    <w:tbl>
      <w:tblPr>
        <w:tblW w:type="auto" w:w="0"/>
        <w:jc w:val="center"/>
        <w:tblLook w:firstColumn="1" w:firstRow="1" w:lastColumn="0" w:lastRow="0" w:noHBand="0" w:noVBand="1" w:val="04A0"/>
      </w:tblPr>
      <w:tblGrid>
        <w:gridCol w:w="2351"/>
        <w:gridCol w:w="2351"/>
        <w:gridCol w:w="2351"/>
        <w:gridCol w:w="2351"/>
      </w:tblGrid>
      <w:tr>
        <w:tc>
          <w:tcPr>
            <w:tcW w:type="dxa" w:w="2351"/>
            <w:shd w:fill="1F4E79"/>
            <w:tcMar>
              <w:top w:w="120" w:type="dxa"/>
              <w:bottom w:w="120" w:type="dxa"/>
              <w:left w:w="150" w:type="dxa"/>
              <w:right w:w="150" w:type="dxa"/>
            </w:tcMar>
          </w:tcPr>
          <w:p>
            <w:pPr>
              <w:jc w:val="center"/>
            </w:pPr>
            <w:r>
              <w:rPr>
                <w:b/>
                <w:color w:val="FFFFFF"/>
                <w:sz w:val="22"/>
              </w:rPr>
              <w:t>Epoch</w:t>
            </w:r>
          </w:p>
        </w:tc>
        <w:tc>
          <w:tcPr>
            <w:tcW w:type="dxa" w:w="2351"/>
            <w:shd w:fill="1F4E79"/>
            <w:tcMar>
              <w:top w:w="120" w:type="dxa"/>
              <w:bottom w:w="120" w:type="dxa"/>
              <w:left w:w="150" w:type="dxa"/>
              <w:right w:w="150" w:type="dxa"/>
            </w:tcMar>
          </w:tcPr>
          <w:p>
            <w:pPr>
              <w:jc w:val="center"/>
            </w:pPr>
            <w:r>
              <w:rPr>
                <w:b/>
                <w:color w:val="FFFFFF"/>
                <w:sz w:val="22"/>
              </w:rPr>
              <w:t>Loss Huấn luyện (Train Loss)</w:t>
            </w:r>
          </w:p>
        </w:tc>
        <w:tc>
          <w:tcPr>
            <w:tcW w:type="dxa" w:w="2351"/>
            <w:shd w:fill="1F4E79"/>
            <w:tcMar>
              <w:top w:w="120" w:type="dxa"/>
              <w:bottom w:w="120" w:type="dxa"/>
              <w:left w:w="150" w:type="dxa"/>
              <w:right w:w="150" w:type="dxa"/>
            </w:tcMar>
          </w:tcPr>
          <w:p>
            <w:pPr>
              <w:jc w:val="center"/>
            </w:pPr>
            <w:r>
              <w:rPr>
                <w:b/>
                <w:color w:val="FFFFFF"/>
                <w:sz w:val="22"/>
              </w:rPr>
              <w:t>Độ chính xác kiểm thử (Test Acc)</w:t>
            </w:r>
          </w:p>
        </w:tc>
        <w:tc>
          <w:tcPr>
            <w:tcW w:type="dxa" w:w="2351"/>
            <w:shd w:fill="1F4E79"/>
            <w:tcMar>
              <w:top w:w="120" w:type="dxa"/>
              <w:bottom w:w="120" w:type="dxa"/>
              <w:left w:w="150" w:type="dxa"/>
              <w:right w:w="150" w:type="dxa"/>
            </w:tcMar>
          </w:tcPr>
          <w:p>
            <w:pPr>
              <w:jc w:val="center"/>
            </w:pPr>
            <w:r>
              <w:rPr>
                <w:b/>
                <w:color w:val="FFFFFF"/>
                <w:sz w:val="22"/>
              </w:rPr>
              <w:t>F1-Macro kiểm thử</w:t>
            </w:r>
          </w:p>
        </w:tc>
      </w:tr>
      <w:tr>
        <w:tc>
          <w:tcPr>
            <w:tcW w:type="dxa" w:w="2351"/>
            <w:tcMar>
              <w:top w:w="80" w:type="dxa"/>
              <w:bottom w:w="80" w:type="dxa"/>
              <w:left w:w="150" w:type="dxa"/>
              <w:right w:w="150" w:type="dxa"/>
            </w:tcMar>
          </w:tcPr>
          <w:p>
            <w:pPr>
              <w:jc w:val="center"/>
            </w:pPr>
            <w:r>
              <w:rPr>
                <w:sz w:val="20"/>
              </w:rPr>
              <w:t>10</w:t>
            </w:r>
          </w:p>
        </w:tc>
        <w:tc>
          <w:tcPr>
            <w:tcW w:type="dxa" w:w="2351"/>
            <w:tcMar>
              <w:top w:w="80" w:type="dxa"/>
              <w:bottom w:w="80" w:type="dxa"/>
              <w:left w:w="150" w:type="dxa"/>
              <w:right w:w="150" w:type="dxa"/>
            </w:tcMar>
          </w:tcPr>
          <w:p>
            <w:pPr>
              <w:jc w:val="center"/>
            </w:pPr>
            <w:r>
              <w:rPr>
                <w:sz w:val="20"/>
              </w:rPr>
              <w:t>0.3209</w:t>
            </w:r>
          </w:p>
        </w:tc>
        <w:tc>
          <w:tcPr>
            <w:tcW w:type="dxa" w:w="2351"/>
            <w:tcMar>
              <w:top w:w="80" w:type="dxa"/>
              <w:bottom w:w="80" w:type="dxa"/>
              <w:left w:w="150" w:type="dxa"/>
              <w:right w:w="150" w:type="dxa"/>
            </w:tcMar>
          </w:tcPr>
          <w:p>
            <w:pPr>
              <w:jc w:val="center"/>
            </w:pPr>
            <w:r>
              <w:rPr>
                <w:sz w:val="20"/>
              </w:rPr>
              <w:t>94.05%</w:t>
            </w:r>
          </w:p>
        </w:tc>
        <w:tc>
          <w:tcPr>
            <w:tcW w:type="dxa" w:w="2351"/>
            <w:tcMar>
              <w:top w:w="80" w:type="dxa"/>
              <w:bottom w:w="80" w:type="dxa"/>
              <w:left w:w="150" w:type="dxa"/>
              <w:right w:w="150" w:type="dxa"/>
            </w:tcMar>
          </w:tcPr>
          <w:p>
            <w:pPr>
              <w:jc w:val="center"/>
            </w:pPr>
            <w:r>
              <w:rPr>
                <w:sz w:val="20"/>
              </w:rPr>
              <w:t>0.9428</w:t>
            </w:r>
          </w:p>
        </w:tc>
      </w:tr>
      <w:tr>
        <w:tc>
          <w:tcPr>
            <w:tcW w:type="dxa" w:w="2351"/>
            <w:tcMar>
              <w:top w:w="80" w:type="dxa"/>
              <w:bottom w:w="80" w:type="dxa"/>
              <w:left w:w="150" w:type="dxa"/>
              <w:right w:w="150" w:type="dxa"/>
            </w:tcMar>
            <w:shd w:fill="F2F2F2"/>
          </w:tcPr>
          <w:p>
            <w:pPr>
              <w:jc w:val="center"/>
            </w:pPr>
            <w:r>
              <w:rPr>
                <w:sz w:val="20"/>
              </w:rPr>
              <w:t>20</w:t>
            </w:r>
          </w:p>
        </w:tc>
        <w:tc>
          <w:tcPr>
            <w:tcW w:type="dxa" w:w="2351"/>
            <w:tcMar>
              <w:top w:w="80" w:type="dxa"/>
              <w:bottom w:w="80" w:type="dxa"/>
              <w:left w:w="150" w:type="dxa"/>
              <w:right w:w="150" w:type="dxa"/>
            </w:tcMar>
            <w:shd w:fill="F2F2F2"/>
          </w:tcPr>
          <w:p>
            <w:pPr>
              <w:jc w:val="center"/>
            </w:pPr>
            <w:r>
              <w:rPr>
                <w:sz w:val="20"/>
              </w:rPr>
              <w:t>0.1863</w:t>
            </w:r>
          </w:p>
        </w:tc>
        <w:tc>
          <w:tcPr>
            <w:tcW w:type="dxa" w:w="2351"/>
            <w:tcMar>
              <w:top w:w="80" w:type="dxa"/>
              <w:bottom w:w="80" w:type="dxa"/>
              <w:left w:w="150" w:type="dxa"/>
              <w:right w:w="150" w:type="dxa"/>
            </w:tcMar>
            <w:shd w:fill="F2F2F2"/>
          </w:tcPr>
          <w:p>
            <w:pPr>
              <w:jc w:val="center"/>
            </w:pPr>
            <w:r>
              <w:rPr>
                <w:sz w:val="20"/>
              </w:rPr>
              <w:t>95.35%</w:t>
            </w:r>
          </w:p>
        </w:tc>
        <w:tc>
          <w:tcPr>
            <w:tcW w:type="dxa" w:w="2351"/>
            <w:tcMar>
              <w:top w:w="80" w:type="dxa"/>
              <w:bottom w:w="80" w:type="dxa"/>
              <w:left w:w="150" w:type="dxa"/>
              <w:right w:w="150" w:type="dxa"/>
            </w:tcMar>
            <w:shd w:fill="F2F2F2"/>
          </w:tcPr>
          <w:p>
            <w:pPr>
              <w:jc w:val="center"/>
            </w:pPr>
            <w:r>
              <w:rPr>
                <w:sz w:val="20"/>
              </w:rPr>
              <w:t>0.9578</w:t>
            </w:r>
          </w:p>
        </w:tc>
      </w:tr>
      <w:tr>
        <w:tc>
          <w:tcPr>
            <w:tcW w:type="dxa" w:w="2351"/>
            <w:tcMar>
              <w:top w:w="80" w:type="dxa"/>
              <w:bottom w:w="80" w:type="dxa"/>
              <w:left w:w="150" w:type="dxa"/>
              <w:right w:w="150" w:type="dxa"/>
            </w:tcMar>
          </w:tcPr>
          <w:p>
            <w:pPr>
              <w:jc w:val="center"/>
            </w:pPr>
            <w:r>
              <w:rPr>
                <w:sz w:val="20"/>
              </w:rPr>
              <w:t>30</w:t>
            </w:r>
          </w:p>
        </w:tc>
        <w:tc>
          <w:tcPr>
            <w:tcW w:type="dxa" w:w="2351"/>
            <w:tcMar>
              <w:top w:w="80" w:type="dxa"/>
              <w:bottom w:w="80" w:type="dxa"/>
              <w:left w:w="150" w:type="dxa"/>
              <w:right w:w="150" w:type="dxa"/>
            </w:tcMar>
          </w:tcPr>
          <w:p>
            <w:pPr>
              <w:jc w:val="center"/>
            </w:pPr>
            <w:r>
              <w:rPr>
                <w:sz w:val="20"/>
              </w:rPr>
              <w:t>0.1518</w:t>
            </w:r>
          </w:p>
        </w:tc>
        <w:tc>
          <w:tcPr>
            <w:tcW w:type="dxa" w:w="2351"/>
            <w:tcMar>
              <w:top w:w="80" w:type="dxa"/>
              <w:bottom w:w="80" w:type="dxa"/>
              <w:left w:w="150" w:type="dxa"/>
              <w:right w:w="150" w:type="dxa"/>
            </w:tcMar>
          </w:tcPr>
          <w:p>
            <w:pPr>
              <w:jc w:val="center"/>
            </w:pPr>
            <w:r>
              <w:rPr>
                <w:sz w:val="20"/>
              </w:rPr>
              <w:t>95.54%</w:t>
            </w:r>
          </w:p>
        </w:tc>
        <w:tc>
          <w:tcPr>
            <w:tcW w:type="dxa" w:w="2351"/>
            <w:tcMar>
              <w:top w:w="80" w:type="dxa"/>
              <w:bottom w:w="80" w:type="dxa"/>
              <w:left w:w="150" w:type="dxa"/>
              <w:right w:w="150" w:type="dxa"/>
            </w:tcMar>
          </w:tcPr>
          <w:p>
            <w:pPr>
              <w:jc w:val="center"/>
            </w:pPr>
            <w:r>
              <w:rPr>
                <w:sz w:val="20"/>
              </w:rPr>
              <w:t>0.9592</w:t>
            </w:r>
          </w:p>
        </w:tc>
      </w:tr>
      <w:tr>
        <w:tc>
          <w:tcPr>
            <w:tcW w:type="dxa" w:w="2351"/>
            <w:tcMar>
              <w:top w:w="80" w:type="dxa"/>
              <w:bottom w:w="80" w:type="dxa"/>
              <w:left w:w="150" w:type="dxa"/>
              <w:right w:w="150" w:type="dxa"/>
            </w:tcMar>
            <w:shd w:fill="F2F2F2"/>
          </w:tcPr>
          <w:p>
            <w:pPr>
              <w:jc w:val="center"/>
            </w:pPr>
            <w:r>
              <w:rPr>
                <w:sz w:val="20"/>
              </w:rPr>
              <w:t>40</w:t>
            </w:r>
          </w:p>
        </w:tc>
        <w:tc>
          <w:tcPr>
            <w:tcW w:type="dxa" w:w="2351"/>
            <w:tcMar>
              <w:top w:w="80" w:type="dxa"/>
              <w:bottom w:w="80" w:type="dxa"/>
              <w:left w:w="150" w:type="dxa"/>
              <w:right w:w="150" w:type="dxa"/>
            </w:tcMar>
            <w:shd w:fill="F2F2F2"/>
          </w:tcPr>
          <w:p>
            <w:pPr>
              <w:jc w:val="center"/>
            </w:pPr>
            <w:r>
              <w:rPr>
                <w:sz w:val="20"/>
              </w:rPr>
              <w:t>0.1072</w:t>
            </w:r>
          </w:p>
        </w:tc>
        <w:tc>
          <w:tcPr>
            <w:tcW w:type="dxa" w:w="2351"/>
            <w:tcMar>
              <w:top w:w="80" w:type="dxa"/>
              <w:bottom w:w="80" w:type="dxa"/>
              <w:left w:w="150" w:type="dxa"/>
              <w:right w:w="150" w:type="dxa"/>
            </w:tcMar>
            <w:shd w:fill="F2F2F2"/>
          </w:tcPr>
          <w:p>
            <w:pPr>
              <w:jc w:val="center"/>
            </w:pPr>
            <w:r>
              <w:rPr>
                <w:sz w:val="20"/>
              </w:rPr>
              <w:t>96.28%</w:t>
            </w:r>
          </w:p>
        </w:tc>
        <w:tc>
          <w:tcPr>
            <w:tcW w:type="dxa" w:w="2351"/>
            <w:tcMar>
              <w:top w:w="80" w:type="dxa"/>
              <w:bottom w:w="80" w:type="dxa"/>
              <w:left w:w="150" w:type="dxa"/>
              <w:right w:w="150" w:type="dxa"/>
            </w:tcMar>
            <w:shd w:fill="F2F2F2"/>
          </w:tcPr>
          <w:p>
            <w:pPr>
              <w:jc w:val="center"/>
            </w:pPr>
            <w:r>
              <w:rPr>
                <w:sz w:val="20"/>
              </w:rPr>
              <w:t>0.9661</w:t>
            </w:r>
          </w:p>
        </w:tc>
      </w:tr>
      <w:tr>
        <w:tc>
          <w:tcPr>
            <w:tcW w:type="dxa" w:w="2351"/>
            <w:tcMar>
              <w:top w:w="80" w:type="dxa"/>
              <w:bottom w:w="80" w:type="dxa"/>
              <w:left w:w="150" w:type="dxa"/>
              <w:right w:w="150" w:type="dxa"/>
            </w:tcMar>
          </w:tcPr>
          <w:p>
            <w:pPr>
              <w:jc w:val="center"/>
            </w:pPr>
            <w:r>
              <w:rPr>
                <w:sz w:val="20"/>
              </w:rPr>
              <w:t>50</w:t>
            </w:r>
          </w:p>
        </w:tc>
        <w:tc>
          <w:tcPr>
            <w:tcW w:type="dxa" w:w="2351"/>
            <w:tcMar>
              <w:top w:w="80" w:type="dxa"/>
              <w:bottom w:w="80" w:type="dxa"/>
              <w:left w:w="150" w:type="dxa"/>
              <w:right w:w="150" w:type="dxa"/>
            </w:tcMar>
          </w:tcPr>
          <w:p>
            <w:pPr>
              <w:jc w:val="center"/>
            </w:pPr>
            <w:r>
              <w:rPr>
                <w:sz w:val="20"/>
              </w:rPr>
              <w:t>0.1001</w:t>
            </w:r>
          </w:p>
        </w:tc>
        <w:tc>
          <w:tcPr>
            <w:tcW w:type="dxa" w:w="2351"/>
            <w:tcMar>
              <w:top w:w="80" w:type="dxa"/>
              <w:bottom w:w="80" w:type="dxa"/>
              <w:left w:w="150" w:type="dxa"/>
              <w:right w:w="150" w:type="dxa"/>
            </w:tcMar>
          </w:tcPr>
          <w:p>
            <w:pPr>
              <w:jc w:val="center"/>
            </w:pPr>
            <w:r>
              <w:rPr>
                <w:sz w:val="20"/>
              </w:rPr>
              <w:t>96.47%</w:t>
            </w:r>
          </w:p>
        </w:tc>
        <w:tc>
          <w:tcPr>
            <w:tcW w:type="dxa" w:w="2351"/>
            <w:tcMar>
              <w:top w:w="80" w:type="dxa"/>
              <w:bottom w:w="80" w:type="dxa"/>
              <w:left w:w="150" w:type="dxa"/>
              <w:right w:w="150" w:type="dxa"/>
            </w:tcMar>
          </w:tcPr>
          <w:p>
            <w:pPr>
              <w:jc w:val="center"/>
            </w:pPr>
            <w:r>
              <w:rPr>
                <w:sz w:val="20"/>
              </w:rPr>
              <w:t>0.9679</w:t>
            </w:r>
          </w:p>
        </w:tc>
      </w:tr>
      <w:tr>
        <w:tc>
          <w:tcPr>
            <w:tcW w:type="dxa" w:w="2351"/>
            <w:tcMar>
              <w:top w:w="80" w:type="dxa"/>
              <w:bottom w:w="80" w:type="dxa"/>
              <w:left w:w="150" w:type="dxa"/>
              <w:right w:w="150" w:type="dxa"/>
            </w:tcMar>
            <w:shd w:fill="F2F2F2"/>
          </w:tcPr>
          <w:p>
            <w:pPr>
              <w:jc w:val="center"/>
            </w:pPr>
            <w:r>
              <w:rPr>
                <w:sz w:val="20"/>
              </w:rPr>
              <w:t>100</w:t>
            </w:r>
          </w:p>
        </w:tc>
        <w:tc>
          <w:tcPr>
            <w:tcW w:type="dxa" w:w="2351"/>
            <w:tcMar>
              <w:top w:w="80" w:type="dxa"/>
              <w:bottom w:w="80" w:type="dxa"/>
              <w:left w:w="150" w:type="dxa"/>
              <w:right w:w="150" w:type="dxa"/>
            </w:tcMar>
            <w:shd w:fill="F2F2F2"/>
          </w:tcPr>
          <w:p>
            <w:pPr>
              <w:jc w:val="center"/>
            </w:pPr>
            <w:r>
              <w:rPr>
                <w:sz w:val="20"/>
              </w:rPr>
              <w:t>0.0702</w:t>
            </w:r>
          </w:p>
        </w:tc>
        <w:tc>
          <w:tcPr>
            <w:tcW w:type="dxa" w:w="2351"/>
            <w:tcMar>
              <w:top w:w="80" w:type="dxa"/>
              <w:bottom w:w="80" w:type="dxa"/>
              <w:left w:w="150" w:type="dxa"/>
              <w:right w:w="150" w:type="dxa"/>
            </w:tcMar>
            <w:shd w:fill="F2F2F2"/>
          </w:tcPr>
          <w:p>
            <w:pPr>
              <w:jc w:val="center"/>
            </w:pPr>
            <w:r>
              <w:rPr>
                <w:sz w:val="20"/>
              </w:rPr>
              <w:t>96.47%</w:t>
            </w:r>
          </w:p>
        </w:tc>
        <w:tc>
          <w:tcPr>
            <w:tcW w:type="dxa" w:w="2351"/>
            <w:tcMar>
              <w:top w:w="80" w:type="dxa"/>
              <w:bottom w:w="80" w:type="dxa"/>
              <w:left w:w="150" w:type="dxa"/>
              <w:right w:w="150" w:type="dxa"/>
            </w:tcMar>
            <w:shd w:fill="F2F2F2"/>
          </w:tcPr>
          <w:p>
            <w:pPr>
              <w:jc w:val="center"/>
            </w:pPr>
            <w:r>
              <w:rPr>
                <w:sz w:val="20"/>
              </w:rPr>
              <w:t>0.9675</w:t>
            </w:r>
          </w:p>
        </w:tc>
      </w:tr>
      <w:tr>
        <w:tc>
          <w:tcPr>
            <w:tcW w:type="dxa" w:w="2351"/>
            <w:tcMar>
              <w:top w:w="80" w:type="dxa"/>
              <w:bottom w:w="80" w:type="dxa"/>
              <w:left w:w="150" w:type="dxa"/>
              <w:right w:w="150" w:type="dxa"/>
            </w:tcMar>
          </w:tcPr>
          <w:p>
            <w:pPr>
              <w:jc w:val="center"/>
            </w:pPr>
            <w:r>
              <w:rPr>
                <w:sz w:val="20"/>
              </w:rPr>
              <w:t>180</w:t>
            </w:r>
          </w:p>
        </w:tc>
        <w:tc>
          <w:tcPr>
            <w:tcW w:type="dxa" w:w="2351"/>
            <w:tcMar>
              <w:top w:w="80" w:type="dxa"/>
              <w:bottom w:w="80" w:type="dxa"/>
              <w:left w:w="150" w:type="dxa"/>
              <w:right w:w="150" w:type="dxa"/>
            </w:tcMar>
          </w:tcPr>
          <w:p>
            <w:pPr>
              <w:jc w:val="center"/>
            </w:pPr>
            <w:r>
              <w:rPr>
                <w:sz w:val="20"/>
              </w:rPr>
              <w:t>0.0640</w:t>
            </w:r>
          </w:p>
        </w:tc>
        <w:tc>
          <w:tcPr>
            <w:tcW w:type="dxa" w:w="2351"/>
            <w:tcMar>
              <w:top w:w="80" w:type="dxa"/>
              <w:bottom w:w="80" w:type="dxa"/>
              <w:left w:w="150" w:type="dxa"/>
              <w:right w:w="150" w:type="dxa"/>
            </w:tcMar>
          </w:tcPr>
          <w:p>
            <w:pPr>
              <w:jc w:val="center"/>
            </w:pPr>
            <w:r>
              <w:rPr>
                <w:sz w:val="20"/>
              </w:rPr>
              <w:t>96.84%</w:t>
            </w:r>
          </w:p>
        </w:tc>
        <w:tc>
          <w:tcPr>
            <w:tcW w:type="dxa" w:w="2351"/>
            <w:tcMar>
              <w:top w:w="80" w:type="dxa"/>
              <w:bottom w:w="80" w:type="dxa"/>
              <w:left w:w="150" w:type="dxa"/>
              <w:right w:w="150" w:type="dxa"/>
            </w:tcMar>
          </w:tcPr>
          <w:p>
            <w:pPr>
              <w:jc w:val="center"/>
            </w:pPr>
            <w:r>
              <w:rPr>
                <w:sz w:val="20"/>
              </w:rPr>
              <w:t>0.9711</w:t>
            </w:r>
          </w:p>
        </w:tc>
      </w:tr>
      <w:tr>
        <w:tc>
          <w:tcPr>
            <w:tcW w:type="dxa" w:w="2351"/>
            <w:tcMar>
              <w:top w:w="80" w:type="dxa"/>
              <w:bottom w:w="80" w:type="dxa"/>
              <w:left w:w="150" w:type="dxa"/>
              <w:right w:w="150" w:type="dxa"/>
            </w:tcMar>
            <w:shd w:fill="F2F2F2"/>
          </w:tcPr>
          <w:p>
            <w:pPr>
              <w:jc w:val="center"/>
            </w:pPr>
            <w:r>
              <w:rPr>
                <w:sz w:val="20"/>
              </w:rPr>
              <w:t>200</w:t>
            </w:r>
          </w:p>
        </w:tc>
        <w:tc>
          <w:tcPr>
            <w:tcW w:type="dxa" w:w="2351"/>
            <w:tcMar>
              <w:top w:w="80" w:type="dxa"/>
              <w:bottom w:w="80" w:type="dxa"/>
              <w:left w:w="150" w:type="dxa"/>
              <w:right w:w="150" w:type="dxa"/>
            </w:tcMar>
            <w:shd w:fill="F2F2F2"/>
          </w:tcPr>
          <w:p>
            <w:pPr>
              <w:jc w:val="center"/>
            </w:pPr>
            <w:r>
              <w:rPr>
                <w:sz w:val="20"/>
              </w:rPr>
              <w:t>0.0565</w:t>
            </w:r>
          </w:p>
        </w:tc>
        <w:tc>
          <w:tcPr>
            <w:tcW w:type="dxa" w:w="2351"/>
            <w:tcMar>
              <w:top w:w="80" w:type="dxa"/>
              <w:bottom w:w="80" w:type="dxa"/>
              <w:left w:w="150" w:type="dxa"/>
              <w:right w:w="150" w:type="dxa"/>
            </w:tcMar>
            <w:shd w:fill="F2F2F2"/>
          </w:tcPr>
          <w:p>
            <w:pPr>
              <w:jc w:val="center"/>
            </w:pPr>
            <w:r>
              <w:rPr>
                <w:sz w:val="20"/>
              </w:rPr>
              <w:t>96.47%</w:t>
            </w:r>
          </w:p>
        </w:tc>
        <w:tc>
          <w:tcPr>
            <w:tcW w:type="dxa" w:w="2351"/>
            <w:tcMar>
              <w:top w:w="80" w:type="dxa"/>
              <w:bottom w:w="80" w:type="dxa"/>
              <w:left w:w="150" w:type="dxa"/>
              <w:right w:w="150" w:type="dxa"/>
            </w:tcMar>
            <w:shd w:fill="F2F2F2"/>
          </w:tcPr>
          <w:p>
            <w:pPr>
              <w:jc w:val="center"/>
            </w:pPr>
            <w:r>
              <w:rPr>
                <w:sz w:val="20"/>
              </w:rPr>
              <w:t>0.9675</w:t>
            </w:r>
          </w:p>
        </w:tc>
      </w:tr>
    </w:tbl>
    <w:p>
      <w:pPr>
        <w:spacing w:before="120" w:after="240"/>
        <w:jc w:val="center"/>
      </w:pPr>
      <w:r>
        <w:rPr>
          <w:i/>
          <w:sz w:val="22"/>
        </w:rPr>
        <w:t>Bảng 3.1: Tiến trình huấn luyện và đánh giá mô hình IntegralGNN</w:t>
      </w:r>
    </w:p>
    <w:p>
      <w:pPr>
        <w:spacing w:line="312" w:lineRule="auto" w:after="120"/>
        <w:ind w:firstLine="720"/>
        <w:jc w:val="both"/>
      </w:pPr>
      <w:r>
        <w:rPr>
          <w:rFonts w:ascii="Times New Roman" w:hAnsi="Times New Roman"/>
          <w:i w:val="0"/>
        </w:rPr>
        <w:t>Dựa trên kết quả ở Bảng 3.1, ta có một số nhận xét quan trọng:</w:t>
      </w:r>
    </w:p>
    <w:p>
      <w:pPr>
        <w:spacing w:line="312" w:lineRule="auto" w:after="120"/>
        <w:ind w:firstLine="720"/>
        <w:jc w:val="both"/>
      </w:pPr>
      <w:r>
        <w:rPr>
          <w:rFonts w:ascii="Times New Roman" w:hAnsi="Times New Roman"/>
          <w:b/>
        </w:rPr>
        <w:t xml:space="preserve">1. Tốc độ hội tụ nhanh vượt trội: </w:t>
      </w:r>
      <w:r>
        <w:rPr>
          <w:rFonts w:ascii="Times New Roman" w:hAnsi="Times New Roman"/>
          <w:i w:val="0"/>
        </w:rPr>
        <w:t>Mô hình đạt độ chính xác trên tập test lên tới 94.05% và F1-Macro đạt 0.9428 chỉ sau 10 epoch đầu tiên. Điều này chứng minh cấu trúc đồ thị vô hướng xây dựng từ cây AST lưu trữ thông tin cú pháp cực kỳ cô đọng, giúp mạng GraphSAGE nhanh chóng nắm bắt đặc trưng cấu trúc toán học.</w:t>
      </w:r>
    </w:p>
    <w:p>
      <w:pPr>
        <w:spacing w:line="312" w:lineRule="auto" w:after="120"/>
        <w:ind w:firstLine="720"/>
        <w:jc w:val="both"/>
      </w:pPr>
      <w:r>
        <w:rPr>
          <w:rFonts w:ascii="Times New Roman" w:hAnsi="Times New Roman"/>
          <w:b/>
        </w:rPr>
        <w:t xml:space="preserve">2. Hiệu năng phân loại xuất sắc: </w:t>
      </w:r>
      <w:r>
        <w:rPr>
          <w:rFonts w:ascii="Times New Roman" w:hAnsi="Times New Roman"/>
          <w:i w:val="0"/>
        </w:rPr>
        <w:t>Độ chính xác của mô hình đạt giá trị cao nhất tại Epoch 180 với Accuracy = 96.84% và F1-Macro = 0.9711. Kết quả F1-Macro ở mức rất cao (&gt;0.97) phản ánh khả năng phân loại chính xác đồng đều trên cả 5 hành động tích phân khác nhau, không xảy ra hiện tượng thiên lệch (bias) về phía lớp đa số nhờ việc áp dụng trọng số cân bằng lớp hữu hiệu.</w:t>
      </w:r>
    </w:p>
    <w:p>
      <w:pPr>
        <w:spacing w:line="312" w:lineRule="auto" w:after="120"/>
        <w:ind w:firstLine="720"/>
        <w:jc w:val="both"/>
      </w:pPr>
      <w:r>
        <w:rPr>
          <w:rFonts w:ascii="Times New Roman" w:hAnsi="Times New Roman"/>
          <w:b/>
        </w:rPr>
        <w:t xml:space="preserve">3. Khả năng tổng quát hóa tốt: </w:t>
      </w:r>
      <w:r>
        <w:rPr>
          <w:rFonts w:ascii="Times New Roman" w:hAnsi="Times New Roman"/>
          <w:i w:val="0"/>
        </w:rPr>
        <w:t>Độ lỗi Loss trên tập huấn luyện giảm liên tục từ 0.3209 xuống 0.0565 ở Epoch 200, trong khi hiệu năng trên tập test duy trì tính ổn định (biến thiên nhỏ trong khoảng 96.2% - 96.8%). Sự chênh lệch rất nhỏ giữa tập huấn luyện và tập kiểm thử chứng tỏ cơ chế Dropout (p = 0.5) cùng với tầng trung bình pooling toàn cục hoạt động tốt, hạn chế tối đa hiện tượng quá khớp (overfitting).</w:t>
      </w:r>
    </w:p>
    <w:p>
      <w:pPr>
        <w:pStyle w:val="Heading1"/>
        <w:keepNext/>
        <w:spacing w:before="240" w:after="120"/>
      </w:pPr>
      <w:r>
        <w:rPr>
          <w:rFonts w:ascii="Times New Roman" w:hAnsi="Times New Roman"/>
          <w:b/>
          <w:color w:val="000000"/>
          <w:sz w:val="28"/>
        </w:rPr>
        <w:t>KẾT LUẬN</w:t>
      </w:r>
    </w:p>
    <w:p>
      <w:pPr>
        <w:spacing w:line="312" w:lineRule="auto" w:after="120"/>
        <w:ind w:firstLine="720"/>
        <w:jc w:val="both"/>
      </w:pPr>
      <w:r>
        <w:rPr>
          <w:rFonts w:ascii="Times New Roman" w:hAnsi="Times New Roman"/>
          <w:i w:val="0"/>
        </w:rPr>
        <w:t>Nghiên cứu đã đề xuất thành công mô hình học sâu IntegralGNN dựa trên kiến trúc GraphSAGE tích hợp cùng cây cú pháp trừu tượng AST của biểu thức LaTeX tích phân. Với độ chính xác kiểm thử đạt 96.84% và chỉ số F1-Macro 0.9711, mô hình chứng minh sự hiệu quả vượt trội trong việc phân loại và định hướng hành động giải tích phân. Sự kết hợp giữa khả năng dự đoán thông minh của GNN và tính chính xác tuyệt đối của Rule-based Solver giúp xây dựng một hệ thống giải tích phân mạnh mẽ, ổn định, có tiềm năng ứng dụng cao trong các phần mềm giáo dục toán học thông minh.</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