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before="0" w:lineRule="auto"/>
        <w:ind w:left="-150" w:firstLine="0"/>
        <w:contextualSpacing w:val="0"/>
        <w:rPr>
          <w:rFonts w:ascii="Calibri" w:cs="Calibri" w:eastAsia="Calibri" w:hAnsi="Calibri"/>
          <w:b w:val="0"/>
          <w:smallCaps w:val="1"/>
          <w:color w:val="d67b00"/>
          <w:sz w:val="52"/>
          <w:szCs w:val="52"/>
        </w:rPr>
      </w:pPr>
      <w:r w:rsidDel="00000000" w:rsidR="00000000" w:rsidRPr="00000000">
        <w:rPr>
          <w:color w:val="d67b00"/>
          <w:rtl w:val="0"/>
        </w:rPr>
        <w:t xml:space="preserve">Préparation d’une programmation AJAX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390525</wp:posOffset>
                </wp:positionV>
                <wp:extent cx="6858000" cy="101320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464" y="3289908"/>
                          <a:ext cx="6858000" cy="1013209"/>
                          <a:chOff x="1882464" y="3289908"/>
                          <a:chExt cx="7780486" cy="113396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2464" y="3289908"/>
                            <a:ext cx="6927073" cy="980185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d67b00"/>
                                  <w:sz w:val="20"/>
                                  <w:vertAlign w:val="baseline"/>
                                </w:rPr>
                                <w:t xml:space="preserve">Résumé de votre projet Ajax 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d67b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d67b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d67b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d67b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64650" y="3525675"/>
                            <a:ext cx="7698300" cy="89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Lorsque les paramètres généraux de l’utilisateur sont changé dans un formulaire,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 changement ce fait immédiatement et une rétroaction est donnée à l’utilisateur.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390525</wp:posOffset>
                </wp:positionV>
                <wp:extent cx="6858000" cy="101320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013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81.0" w:type="dxa"/>
        <w:jc w:val="left"/>
        <w:tblInd w:w="-115.0" w:type="dxa"/>
        <w:tblBorders>
          <w:top w:color="000000" w:space="0" w:sz="18" w:val="single"/>
          <w:bottom w:color="000000" w:space="0" w:sz="18" w:val="single"/>
        </w:tblBorders>
        <w:tblLayout w:type="fixed"/>
        <w:tblLook w:val="04A0"/>
      </w:tblPr>
      <w:tblGrid>
        <w:gridCol w:w="3182"/>
        <w:gridCol w:w="2738"/>
        <w:gridCol w:w="4961"/>
        <w:tblGridChange w:id="0">
          <w:tblGrid>
            <w:gridCol w:w="3182"/>
            <w:gridCol w:w="2738"/>
            <w:gridCol w:w="4961"/>
          </w:tblGrid>
        </w:tblGridChange>
      </w:tblGrid>
      <w:tr>
        <w:tc>
          <w:tcPr>
            <w:shd w:fill="ffc000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Formulez-le en français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(dossier fonctionnel)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Donnez des détails techniques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(format, protocole, paramètres, champs, balises, id, etc.)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ÉVÉNEMENT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l’événement qui déclenche l’Ajax ?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l’utilisateur fini de changer un paramètre.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clique sur une checkbox OU lorsqu’il sors du “focus” d’un input text après avoir changé des données.</w:t>
            </w:r>
          </w:p>
        </w:tc>
      </w:tr>
      <w:tr>
        <w:tc>
          <w:tcPr>
            <w:shd w:fill="ff3300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REQUÊTE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la question posée au serveur ?  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information envoyez-vous au serveur en posant la question ?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demande au serveur s’il peut changer la valeur de ce champ dans la base de données avec la modification de l’utilisateur.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demande au serveur si l’input de l’utilisateur est conforme. On lui envoit l’input, le champ modifié et l’id de l’utilisateur.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RÉPONSE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information le serveur vous répond-t-il ?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serveur nous répond en nous disant si la modification a fonctionnée.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serveur renvoit “True” ou “False” selon le résultat de la modification dans la base de données.</w:t>
            </w:r>
          </w:p>
        </w:tc>
      </w:tr>
      <w:tr>
        <w:trPr>
          <w:trHeight w:val="2680" w:hRule="atLeast"/>
        </w:trPr>
        <w:tc>
          <w:tcPr>
            <w:shd w:fill="ff3300" w:val="clear"/>
          </w:tcPr>
          <w:p w:rsidR="00000000" w:rsidDel="00000000" w:rsidP="00000000" w:rsidRDefault="00000000" w:rsidRPr="00000000" w14:paraId="0000001C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AFFICHAGE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rétroaction donnez-vous à l’utilisateur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Un petit crochet vert s’affiche au coté du champ si la modification a été fait.</w:t>
            </w:r>
          </w:p>
        </w:tc>
        <w:tc>
          <w:tcPr>
            <w:tcBorders>
              <w:left w:color="000000" w:space="0" w:sz="4" w:val="dotted"/>
              <w:bottom w:color="000000" w:space="0" w:sz="18" w:val="single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affiche temporairement un image adjacente au paramètre modifié par l’utilisateur. Après 1 seconde on enlève l’image. L’image sera celle d’un petit crochet vert.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0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4962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720" w:line="276" w:lineRule="auto"/>
    </w:pPr>
    <w:rPr>
      <w:rFonts w:ascii="Calibri" w:cs="Calibri" w:eastAsia="Calibri" w:hAnsi="Calibri"/>
      <w:b w:val="0"/>
      <w:smallCaps w:val="1"/>
      <w:color w:val="94c6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shd w:fill="d8d8d8" w:val="clear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