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14561qvgp1n" w:id="0"/>
      <w:bookmarkEnd w:id="0"/>
      <w:r w:rsidDel="00000000" w:rsidR="00000000" w:rsidRPr="00000000">
        <w:rPr>
          <w:rtl w:val="0"/>
        </w:rPr>
        <w:t xml:space="preserve">Конспект по “Конкурентно програмиране”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54 учебни часа</w:t>
      </w:r>
      <w:r w:rsidDel="00000000" w:rsidR="00000000" w:rsidRPr="00000000">
        <w:rPr>
          <w:rtl w:val="0"/>
        </w:rPr>
        <w:t xml:space="preserve"> (18 седмици по 3 часа)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0"/>
        <w:gridCol w:w="7350"/>
        <w:gridCol w:w="1815"/>
        <w:tblGridChange w:id="0">
          <w:tblGrid>
            <w:gridCol w:w="870"/>
            <w:gridCol w:w="7350"/>
            <w:gridCol w:w="18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before="20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5"/>
              <w:keepNext w:val="0"/>
              <w:keepLines w:val="0"/>
              <w:spacing w:after="40" w:before="20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drkavz7b0pqt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Наименование на разделите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q9f2c3df6eh8" w:id="2"/>
            <w:bookmarkEnd w:id="2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Минимален брой часове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Паралелно (асинхронно изпълнение)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Модели на паралелно изпълнение, паралелизъм, конкурентно изпълнение, превключване между задачи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Примери за конкурентно изпълнение на задачи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Нишки и многонишковост (multithreading)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Нишки, многонишково програмиране, стартиране, спиране и управление на нишки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Концепция за “басейн от нишки” (</w:t>
            </w:r>
            <w:r w:rsidDel="00000000" w:rsidR="00000000" w:rsidRPr="00000000">
              <w:rPr>
                <w:rtl w:val="0"/>
              </w:rPr>
              <w:t xml:space="preserve">thread pool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Ползи и вреди от нишките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Упражнения</w:t>
            </w:r>
            <w:r w:rsidDel="00000000" w:rsidR="00000000" w:rsidRPr="00000000">
              <w:rPr>
                <w:rtl w:val="0"/>
              </w:rPr>
              <w:t xml:space="preserve">: конкурентно изпълнение с нишки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Синхронизация между асинхронни задачи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Синхронизация </w:t>
            </w:r>
            <w:r w:rsidDel="00000000" w:rsidR="00000000" w:rsidRPr="00000000">
              <w:rPr>
                <w:rtl w:val="0"/>
              </w:rPr>
              <w:t xml:space="preserve">между конкурентно изпълняващи се задачи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Критични секции, заключване, семафори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Мъртва хватка (deadlock)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Алгоритми за синхронизация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Хардуерна поддръжка на алгоритмите за синхронизация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Модел “производител / консуматор”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реализация на “производител</w:t>
            </w:r>
            <w:r w:rsidDel="00000000" w:rsidR="00000000" w:rsidRPr="00000000">
              <w:rPr>
                <w:rtl w:val="0"/>
              </w:rPr>
              <w:t xml:space="preserve"> / консуматор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Задачи и асинхронно изпълнение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Задачи и асинхронно изпълнение (например с </w:t>
            </w:r>
            <w:r w:rsidDel="00000000" w:rsidR="00000000" w:rsidRPr="00000000">
              <w:rPr>
                <w:b w:val="1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  <w:t xml:space="preserve"> или друг API за задачи)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консумация на асинхронно API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Разработка на практически проект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 по практически проект - конкурентна система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Защита / оценяване на проектите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Оценяване на практическите проекти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Резерв часове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 брой часове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54</w:t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Покрива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РУ10.9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g92ck08us77s" w:id="3"/>
      <w:bookmarkEnd w:id="3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Little Book about Semaphores, 2nd Edition:  The Ins and Outs of Concurrency Control and Common Mistakes, Allen B. Downey, 2009, ISBN </w:t>
      </w:r>
      <w:r w:rsidDel="00000000" w:rsidR="00000000" w:rsidRPr="00000000">
        <w:rPr>
          <w:color w:val="333333"/>
          <w:highlight w:val="white"/>
          <w:rtl w:val="0"/>
        </w:rPr>
        <w:t xml:space="preserve">978-1441418685,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http://greenteapress.com/semaphores/LittleBookOfSemaphores.pdf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Java Concurrency in Practice, Brian Goetz; Tim Peierls; Joshua Bloch; Joseph Bowbeer; David Holmes; Doug Lea, Addison-Wesley Professional, 2006, ISBN </w:t>
      </w:r>
      <w:r w:rsidDel="00000000" w:rsidR="00000000" w:rsidRPr="00000000">
        <w:rPr>
          <w:highlight w:val="white"/>
          <w:rtl w:val="0"/>
        </w:rPr>
        <w:t xml:space="preserve">978-0321349606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reenteapress.com/semaphores/LittleBookOfSemaphor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