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4675" w14:textId="20D8A445" w:rsidR="009E5C32" w:rsidRPr="00690F6F" w:rsidRDefault="009E5C32" w:rsidP="00FD26FF">
      <w:pPr>
        <w:rPr>
          <w:b/>
          <w:bCs/>
          <w:sz w:val="28"/>
          <w:szCs w:val="28"/>
        </w:rPr>
      </w:pPr>
      <w:r w:rsidRPr="00690F6F">
        <w:rPr>
          <w:b/>
          <w:bCs/>
          <w:i/>
          <w:iCs/>
          <w:sz w:val="28"/>
          <w:szCs w:val="28"/>
        </w:rPr>
        <w:t>Building on the problem–solution framing above, the next section justifies why this visual approach is appropriate for managerial decision-making</w:t>
      </w:r>
      <w:r w:rsidR="00690F6F">
        <w:rPr>
          <w:b/>
          <w:bCs/>
          <w:sz w:val="28"/>
          <w:szCs w:val="28"/>
        </w:rPr>
        <w:t>.</w:t>
      </w:r>
    </w:p>
    <w:p w14:paraId="4E41C517" w14:textId="2A62EFE1" w:rsidR="00FD26FF" w:rsidRPr="005F2B37" w:rsidRDefault="00FD26FF" w:rsidP="00FD26FF">
      <w:pPr>
        <w:rPr>
          <w:sz w:val="32"/>
          <w:szCs w:val="32"/>
        </w:rPr>
      </w:pPr>
      <w:r w:rsidRPr="005F2B37">
        <w:rPr>
          <w:b/>
          <w:bCs/>
          <w:sz w:val="32"/>
          <w:szCs w:val="32"/>
        </w:rPr>
        <w:t xml:space="preserve">Fit of the Visualization Technique </w:t>
      </w:r>
    </w:p>
    <w:p w14:paraId="4C32EB35" w14:textId="22C44472" w:rsidR="00FD26FF" w:rsidRPr="00FD26FF" w:rsidRDefault="00FD26FF" w:rsidP="00FD26FF">
      <w:r w:rsidRPr="00FD26FF">
        <w:t xml:space="preserve">The visual analytic techniques employed by our dashboard significantly enhance both internal and external value for our organization. </w:t>
      </w:r>
      <w:r w:rsidR="0055091E">
        <w:br/>
      </w:r>
      <w:r w:rsidR="00E3543F" w:rsidRPr="00E3543F">
        <w:t>Internally, the dashboard streamlines decision-making by turning complex datasets into interactive insights, allowing rapid identification of profit drains and high-margin opportunities</w:t>
      </w:r>
      <w:r w:rsidR="00E3543F">
        <w:t xml:space="preserve"> </w:t>
      </w:r>
      <w:r w:rsidR="002728B5" w:rsidRPr="002728B5">
        <w:t>(Khatri and Gupta, 2022)</w:t>
      </w:r>
      <w:r w:rsidR="00E3543F">
        <w:t>.</w:t>
      </w:r>
    </w:p>
    <w:p w14:paraId="587620A7" w14:textId="7A858AB9" w:rsidR="00FD26FF" w:rsidRDefault="00615F9B" w:rsidP="00FD26FF">
      <w:r w:rsidRPr="00615F9B">
        <w:t xml:space="preserve">Externally, visual analytics communicate transparent narratives to retail partners and investors, evidencing disciplined margin management and supporting controlled experimentation </w:t>
      </w:r>
      <w:r w:rsidR="00220653" w:rsidRPr="002728B5">
        <w:t>(Khatri and Gupta, 2022)</w:t>
      </w:r>
      <w:r w:rsidR="00E3543F">
        <w:t>.</w:t>
      </w:r>
    </w:p>
    <w:p w14:paraId="6A9E6583" w14:textId="77777777" w:rsidR="007943EE" w:rsidRDefault="007943EE" w:rsidP="00FD26FF"/>
    <w:p w14:paraId="537F4618" w14:textId="3FEF15E1" w:rsidR="007943EE" w:rsidRPr="00FD26FF" w:rsidRDefault="005B2F87" w:rsidP="00FD26FF">
      <w:r w:rsidRPr="005B2F87">
        <w:rPr>
          <w:noProof/>
        </w:rPr>
        <w:drawing>
          <wp:inline distT="0" distB="0" distL="0" distR="0" wp14:anchorId="52273619" wp14:editId="7428C09F">
            <wp:extent cx="5731510" cy="3198495"/>
            <wp:effectExtent l="0" t="0" r="2540" b="1905"/>
            <wp:docPr id="54305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59578" name=""/>
                    <pic:cNvPicPr/>
                  </pic:nvPicPr>
                  <pic:blipFill>
                    <a:blip r:embed="rId5"/>
                    <a:stretch>
                      <a:fillRect/>
                    </a:stretch>
                  </pic:blipFill>
                  <pic:spPr>
                    <a:xfrm>
                      <a:off x="0" y="0"/>
                      <a:ext cx="5731510" cy="3198495"/>
                    </a:xfrm>
                    <a:prstGeom prst="rect">
                      <a:avLst/>
                    </a:prstGeom>
                  </pic:spPr>
                </pic:pic>
              </a:graphicData>
            </a:graphic>
          </wp:inline>
        </w:drawing>
      </w:r>
    </w:p>
    <w:p w14:paraId="6D47BE18" w14:textId="77777777" w:rsidR="007943EE" w:rsidRDefault="007943EE" w:rsidP="00A02350">
      <w:pPr>
        <w:tabs>
          <w:tab w:val="left" w:pos="7820"/>
        </w:tabs>
        <w:rPr>
          <w:b/>
          <w:bCs/>
          <w:sz w:val="28"/>
          <w:szCs w:val="28"/>
        </w:rPr>
      </w:pPr>
    </w:p>
    <w:p w14:paraId="6D505641" w14:textId="77777777" w:rsidR="007943EE" w:rsidRDefault="007943EE" w:rsidP="00A02350">
      <w:pPr>
        <w:tabs>
          <w:tab w:val="left" w:pos="7820"/>
        </w:tabs>
        <w:rPr>
          <w:b/>
          <w:bCs/>
          <w:sz w:val="28"/>
          <w:szCs w:val="28"/>
        </w:rPr>
      </w:pPr>
    </w:p>
    <w:p w14:paraId="46CF7CB0" w14:textId="3E09F4C6" w:rsidR="00FD26FF" w:rsidRPr="005F2B37" w:rsidRDefault="00FD26FF" w:rsidP="00A02350">
      <w:pPr>
        <w:tabs>
          <w:tab w:val="left" w:pos="7820"/>
        </w:tabs>
        <w:rPr>
          <w:sz w:val="32"/>
          <w:szCs w:val="32"/>
        </w:rPr>
      </w:pPr>
      <w:r w:rsidRPr="005F2B37">
        <w:rPr>
          <w:b/>
          <w:bCs/>
          <w:sz w:val="32"/>
          <w:szCs w:val="32"/>
        </w:rPr>
        <w:t>Demonstration of Visualization</w:t>
      </w:r>
      <w:r w:rsidR="00A02350" w:rsidRPr="005F2B37">
        <w:rPr>
          <w:b/>
          <w:bCs/>
          <w:sz w:val="32"/>
          <w:szCs w:val="32"/>
        </w:rPr>
        <w:tab/>
      </w:r>
    </w:p>
    <w:p w14:paraId="20EF337F" w14:textId="72999892" w:rsidR="00FD26FF" w:rsidRPr="00FD26FF" w:rsidRDefault="000814A2" w:rsidP="00FD26FF">
      <w:r w:rsidRPr="000814A2">
        <w:t>The dashboard integrates product performance and market responsiveness to address the problem of hidden margin erosion. KPI cards report average sales, average operating margin (percentage), and average price per unit for the selected period, establishing baselines for comparison. Sales by Method and Sales Contribution by Retailer summarise revenue mix, while the state map shows geographic distribution by sales method; all three visuals cross-filter the page to keep context consistent</w:t>
      </w:r>
      <w:r w:rsidR="00FD26FF" w:rsidRPr="00FD26FF">
        <w:t xml:space="preserve">. This visual clarity allows </w:t>
      </w:r>
      <w:r w:rsidR="00FD26FF" w:rsidRPr="00FD26FF">
        <w:lastRenderedPageBreak/>
        <w:t>managers to strategically promote profitable products and set optimal prices, ensuring sustainable profit growth rather than merely increasing sales numbers.</w:t>
      </w:r>
    </w:p>
    <w:p w14:paraId="13975486" w14:textId="5D2000BB" w:rsidR="00FD26FF" w:rsidRPr="00FD26FF" w:rsidRDefault="00DB7115" w:rsidP="00FD26FF">
      <w:r w:rsidRPr="00DB7115">
        <w:t>The dashboard addresses these challenges through strategic segmentation that supports rapid interpretation and action</w:t>
      </w:r>
      <w:r w:rsidR="00FD26FF" w:rsidRPr="00FD26FF">
        <w:t>. It employs a profit-volume quadrant to categorize products clearly into four distinct groups, enabling managers to understand each product's strategic role rapidly.</w:t>
      </w:r>
    </w:p>
    <w:p w14:paraId="2F9253CD" w14:textId="77777777" w:rsidR="00FD26FF" w:rsidRPr="00FD26FF" w:rsidRDefault="00FD26FF" w:rsidP="00FD26FF">
      <w:r w:rsidRPr="00FD26FF">
        <w:t>Products such as Women’s Athletic Footwear emerge as hidden gems—items that sell in lower volumes yet yield high profitability per sale. By visually positioning these products in the top-left quadrant, the dashboard immediately highlights opportunities for increased promotion and bundling strategies, aimed at driving higher unit sales without sacrificing margin.</w:t>
      </w:r>
    </w:p>
    <w:p w14:paraId="1BA59F04" w14:textId="08DF7315" w:rsidR="00FD26FF" w:rsidRPr="00FD26FF" w:rsidRDefault="00FD26FF" w:rsidP="00FD26FF">
      <w:r w:rsidRPr="00FD26FF">
        <w:t>Conversely, products like Men’s Street Footwear and Women’s Apparel fall into the Stars quadrant, indicating strong sales coupled with robust profit margins. The visual representation emphasizes the importance of maintaining prominence for these items through consistent stock availability and optimal retail placement.</w:t>
      </w:r>
    </w:p>
    <w:p w14:paraId="3BD21121" w14:textId="041F377B" w:rsidR="00FD26FF" w:rsidRPr="00FD26FF" w:rsidRDefault="00FD26FF" w:rsidP="00FD26FF">
      <w:r w:rsidRPr="00FD26FF">
        <w:t>The Volume Drains quadrant, containing Men’s Athletic Footwear, signals products that, despite high sales, yield relatively lower margins. Visualization quickly pinpoints opportunities for cost management strategies such as supplier renegotiations or incremental pricing adjustments. The dashboard facilitates these insights without the need for detailed numeric analysis, ensuring rapid and informed decision-making.</w:t>
      </w:r>
    </w:p>
    <w:p w14:paraId="04E7ED11" w14:textId="33903301" w:rsidR="00FD26FF" w:rsidRPr="00FD26FF" w:rsidRDefault="00FD26FF" w:rsidP="00FD26FF">
      <w:r w:rsidRPr="00FD26FF">
        <w:t xml:space="preserve">Finally, the Low Performers quadrant </w:t>
      </w:r>
      <w:r w:rsidR="00130E89">
        <w:t>depicts</w:t>
      </w:r>
      <w:r w:rsidRPr="00FD26FF">
        <w:t xml:space="preserve"> products such as Men’s Apparel and Women’s Street Footwear, indicating both low sales volume and profitability. Managers can immediately consider inventory reduction or clearance strategies. By highlighting these products visually, the dashboard helps prevent resource misallocation toward unprofitable inventory.</w:t>
      </w:r>
    </w:p>
    <w:p w14:paraId="507E62FE" w14:textId="0EAF1356" w:rsidR="00FD26FF" w:rsidRPr="00FD26FF" w:rsidRDefault="00FD26FF" w:rsidP="00FD26FF">
      <w:r w:rsidRPr="00FD26FF">
        <w:t>Furthe</w:t>
      </w:r>
      <w:r w:rsidR="00691C7F">
        <w:t>r</w:t>
      </w:r>
      <w:r w:rsidRPr="00FD26FF">
        <w:t xml:space="preserve">, the dashboard effectively addresses market-specific pricing sensitivity through an interactive, </w:t>
      </w:r>
      <w:r w:rsidR="0043185B">
        <w:t>retail scatter</w:t>
      </w:r>
      <w:r w:rsidRPr="00FD26FF">
        <w:t>. Managers can swiftly detect state and retailer responsiveness to price changes, translating abstract price elasticity concepts into actionable insights. Overlaying trends allows precise market-level interventions, avoiding blanket pricing decisions that may inadvertently harm profits.</w:t>
      </w:r>
    </w:p>
    <w:p w14:paraId="1BA87E7F" w14:textId="77777777" w:rsidR="00FD26FF" w:rsidRDefault="00FD26FF" w:rsidP="00FD26FF">
      <w:r w:rsidRPr="00FD26FF">
        <w:t>By integrating product profitability and pricing sensitivity into a unified visualization, managers gain a cohesive understanding of how strategic pricing decisions impact product profitability across different markets. This holistic perspective encourages an integrated approach where pricing and product strategies reinforce each other, ensuring decisions are not made in isolation but as part of a broader profit optimization framework.</w:t>
      </w:r>
    </w:p>
    <w:p w14:paraId="09AFDC66" w14:textId="38CC9EBC" w:rsidR="00934AF8" w:rsidRPr="00934AF8" w:rsidRDefault="00934AF8" w:rsidP="00FD26FF">
      <w:r w:rsidRPr="00934AF8">
        <w:lastRenderedPageBreak/>
        <w:t>Interactions are intentional: selecting a product from the top slicer filters all visuals; choosing a state or retailer updates the price–volume views to the same subset.</w:t>
      </w:r>
    </w:p>
    <w:p w14:paraId="215B6B18" w14:textId="77777777" w:rsidR="00B337B2" w:rsidRDefault="00B337B2" w:rsidP="00FD26FF">
      <w:pPr>
        <w:rPr>
          <w:b/>
          <w:bCs/>
          <w:sz w:val="32"/>
          <w:szCs w:val="32"/>
        </w:rPr>
      </w:pPr>
    </w:p>
    <w:p w14:paraId="2A0987E8" w14:textId="2F3BBA00" w:rsidR="00FD26FF" w:rsidRDefault="00FD26FF" w:rsidP="00FD26FF">
      <w:pPr>
        <w:rPr>
          <w:b/>
          <w:bCs/>
          <w:sz w:val="32"/>
          <w:szCs w:val="32"/>
        </w:rPr>
      </w:pPr>
      <w:r w:rsidRPr="005F2B37">
        <w:rPr>
          <w:b/>
          <w:bCs/>
          <w:sz w:val="32"/>
          <w:szCs w:val="32"/>
        </w:rPr>
        <w:t>Recommendations</w:t>
      </w:r>
      <w:r w:rsidR="00A02350" w:rsidRPr="005F2B37">
        <w:rPr>
          <w:b/>
          <w:bCs/>
          <w:sz w:val="32"/>
          <w:szCs w:val="32"/>
        </w:rPr>
        <w:t xml:space="preserve"> </w:t>
      </w:r>
    </w:p>
    <w:p w14:paraId="0085C482" w14:textId="566C57A2" w:rsidR="00FA071D" w:rsidRPr="00FA071D" w:rsidRDefault="00FA071D" w:rsidP="00FD26FF">
      <w:r w:rsidRPr="00FA071D">
        <w:t>The patterns revealed by the visuals translate into the following decision rules and process changes</w:t>
      </w:r>
      <w:r>
        <w:t>:</w:t>
      </w:r>
    </w:p>
    <w:p w14:paraId="6681DEC3" w14:textId="30A118A8" w:rsidR="00A02350" w:rsidRPr="00A02350" w:rsidRDefault="00232450" w:rsidP="00A02350">
      <w:r w:rsidRPr="00232450">
        <w:t>Embedding the profit–volume dashboard in routine workflows converts descriptive insight into prioritised merchandising actions</w:t>
      </w:r>
      <w:r w:rsidR="00A02350" w:rsidRPr="00A02350">
        <w:rPr>
          <w:i/>
          <w:iCs/>
        </w:rPr>
        <w:t>.</w:t>
      </w:r>
      <w:r w:rsidR="00A02350">
        <w:t xml:space="preserve"> </w:t>
      </w:r>
      <w:r w:rsidR="00A02350" w:rsidRPr="00A02350">
        <w:t>High-margin, high-volume stock-keeping units should receive priority replenishment, whereas persistent loss-leaders ought to be phased out</w:t>
      </w:r>
      <w:r w:rsidR="00B337B2">
        <w:t xml:space="preserve"> </w:t>
      </w:r>
      <w:r w:rsidR="00C829DC" w:rsidRPr="00C829DC">
        <w:t>(Tawil et al., 2024)</w:t>
      </w:r>
      <w:r w:rsidR="00B337B2">
        <w:t>.</w:t>
      </w:r>
      <w:r w:rsidR="00A02350" w:rsidRPr="00A02350">
        <w:t xml:space="preserve"> </w:t>
      </w:r>
      <w:r w:rsidR="00BB5D10" w:rsidRPr="00BB5D10">
        <w:t>Elasticity-based rules should cap markdowns and set minimum price floors</w:t>
      </w:r>
      <w:r w:rsidR="00A02350" w:rsidRPr="00A02350">
        <w:t>, while integrating customer, inventory and marketing feeds into the analytic layer will surface bundling opportunities. Finally, analyst upskilling and weekly data-driven review meetings will embed an experimentation culture across buying, pricing and supply-chain functions</w:t>
      </w:r>
      <w:r w:rsidR="00B337B2">
        <w:t xml:space="preserve"> </w:t>
      </w:r>
      <w:r w:rsidR="00781639" w:rsidRPr="00781639">
        <w:t>(Wang et al., 2022)</w:t>
      </w:r>
      <w:r w:rsidR="00B337B2">
        <w:t>.</w:t>
      </w:r>
    </w:p>
    <w:p w14:paraId="7CB5E721" w14:textId="77777777" w:rsidR="00A02350" w:rsidRDefault="00A02350" w:rsidP="00FD26FF">
      <w:pPr>
        <w:rPr>
          <w:b/>
          <w:bCs/>
          <w:sz w:val="28"/>
          <w:szCs w:val="28"/>
        </w:rPr>
      </w:pPr>
    </w:p>
    <w:p w14:paraId="390F64D4" w14:textId="1583E420" w:rsidR="00A02350" w:rsidRPr="005F2B37" w:rsidRDefault="00A02350" w:rsidP="00FD26FF">
      <w:pPr>
        <w:rPr>
          <w:b/>
          <w:bCs/>
          <w:sz w:val="32"/>
          <w:szCs w:val="32"/>
        </w:rPr>
      </w:pPr>
      <w:r w:rsidRPr="005F2B37">
        <w:rPr>
          <w:b/>
          <w:bCs/>
          <w:sz w:val="32"/>
          <w:szCs w:val="32"/>
        </w:rPr>
        <w:t>Roadmap</w:t>
      </w:r>
    </w:p>
    <w:p w14:paraId="32D5F251" w14:textId="1E6F7912" w:rsidR="00A02350" w:rsidRPr="00A02350" w:rsidRDefault="008C5BA3" w:rsidP="00FD26FF">
      <w:r w:rsidRPr="008C5BA3">
        <w:t>To embed these rules, the roadmap sequences near-term actions into medium-term capability development</w:t>
      </w:r>
      <w:r>
        <w:t>.</w:t>
      </w:r>
    </w:p>
    <w:tbl>
      <w:tblPr>
        <w:tblStyle w:val="TableGridLight"/>
        <w:tblpPr w:leftFromText="180" w:rightFromText="180" w:vertAnchor="text" w:horzAnchor="margin" w:tblpY="873"/>
        <w:tblW w:w="9493" w:type="dxa"/>
        <w:tblLook w:val="04A0" w:firstRow="1" w:lastRow="0" w:firstColumn="1" w:lastColumn="0" w:noHBand="0" w:noVBand="1"/>
      </w:tblPr>
      <w:tblGrid>
        <w:gridCol w:w="1270"/>
        <w:gridCol w:w="3756"/>
        <w:gridCol w:w="4467"/>
      </w:tblGrid>
      <w:tr w:rsidR="00A02350" w:rsidRPr="00FD26FF" w14:paraId="239928CA" w14:textId="77777777" w:rsidTr="00A02350">
        <w:tc>
          <w:tcPr>
            <w:tcW w:w="0" w:type="auto"/>
            <w:hideMark/>
          </w:tcPr>
          <w:p w14:paraId="61E5760A" w14:textId="77777777" w:rsidR="00A02350" w:rsidRPr="00FD26FF" w:rsidRDefault="00A02350" w:rsidP="00A02350">
            <w:pPr>
              <w:spacing w:after="160" w:line="259" w:lineRule="auto"/>
              <w:rPr>
                <w:b/>
                <w:bCs/>
              </w:rPr>
            </w:pPr>
            <w:r w:rsidRPr="00FD26FF">
              <w:rPr>
                <w:b/>
                <w:bCs/>
              </w:rPr>
              <w:t>Horizon</w:t>
            </w:r>
          </w:p>
        </w:tc>
        <w:tc>
          <w:tcPr>
            <w:tcW w:w="0" w:type="auto"/>
            <w:hideMark/>
          </w:tcPr>
          <w:p w14:paraId="3AEE591E" w14:textId="77777777" w:rsidR="00A02350" w:rsidRPr="00FD26FF" w:rsidRDefault="00A02350" w:rsidP="00A02350">
            <w:pPr>
              <w:spacing w:after="160" w:line="259" w:lineRule="auto"/>
              <w:rPr>
                <w:b/>
                <w:bCs/>
              </w:rPr>
            </w:pPr>
            <w:r>
              <w:rPr>
                <w:b/>
                <w:bCs/>
              </w:rPr>
              <w:t xml:space="preserve">Focus Areas </w:t>
            </w:r>
          </w:p>
        </w:tc>
        <w:tc>
          <w:tcPr>
            <w:tcW w:w="4467" w:type="dxa"/>
            <w:hideMark/>
          </w:tcPr>
          <w:p w14:paraId="64DD948F" w14:textId="77777777" w:rsidR="00A02350" w:rsidRPr="00FD26FF" w:rsidRDefault="00A02350" w:rsidP="00A02350">
            <w:pPr>
              <w:spacing w:after="160" w:line="259" w:lineRule="auto"/>
              <w:rPr>
                <w:b/>
                <w:bCs/>
              </w:rPr>
            </w:pPr>
            <w:r>
              <w:rPr>
                <w:b/>
                <w:bCs/>
              </w:rPr>
              <w:t>Why it matters</w:t>
            </w:r>
          </w:p>
        </w:tc>
      </w:tr>
      <w:tr w:rsidR="00A02350" w:rsidRPr="00FD26FF" w14:paraId="176AC86A" w14:textId="77777777" w:rsidTr="00A02350">
        <w:trPr>
          <w:trHeight w:val="4761"/>
        </w:trPr>
        <w:tc>
          <w:tcPr>
            <w:tcW w:w="0" w:type="auto"/>
            <w:hideMark/>
          </w:tcPr>
          <w:p w14:paraId="45BE8401" w14:textId="77777777" w:rsidR="00A02350" w:rsidRPr="00FD26FF" w:rsidRDefault="00A02350" w:rsidP="00A02350">
            <w:pPr>
              <w:spacing w:after="160" w:line="259" w:lineRule="auto"/>
            </w:pPr>
            <w:r w:rsidRPr="00FD26FF">
              <w:t>0–3 months</w:t>
            </w:r>
          </w:p>
        </w:tc>
        <w:tc>
          <w:tcPr>
            <w:tcW w:w="0" w:type="auto"/>
            <w:hideMark/>
          </w:tcPr>
          <w:p w14:paraId="38DB042A" w14:textId="0360E8FC" w:rsidR="00A02350" w:rsidRPr="00FD26FF" w:rsidRDefault="005F2B37" w:rsidP="00A02350">
            <w:pPr>
              <w:spacing w:after="160" w:line="259" w:lineRule="auto"/>
            </w:pPr>
            <w:r>
              <w:rPr>
                <w:b/>
                <w:bCs/>
              </w:rPr>
              <w:t>Product focus</w:t>
            </w:r>
            <w:r>
              <w:br/>
            </w:r>
            <w:r w:rsidR="00A02350" w:rsidRPr="000507C5">
              <w:t xml:space="preserve">Pull the </w:t>
            </w:r>
            <w:r w:rsidR="00953653">
              <w:t xml:space="preserve">draining </w:t>
            </w:r>
            <w:r w:rsidR="00A02350" w:rsidRPr="000507C5">
              <w:t>SKUs in the low-margin</w:t>
            </w:r>
            <w:r w:rsidR="00953653">
              <w:t>--</w:t>
            </w:r>
            <w:r w:rsidR="00A02350" w:rsidRPr="000507C5">
              <w:t xml:space="preserve">high-volume quadrant and </w:t>
            </w:r>
            <w:r>
              <w:t>hold</w:t>
            </w:r>
            <w:r w:rsidR="00A02350" w:rsidRPr="000507C5">
              <w:t xml:space="preserve"> all markdown funding on them. </w:t>
            </w:r>
            <w:r w:rsidR="00A02350">
              <w:br/>
            </w:r>
            <w:r w:rsidR="00A02350" w:rsidRPr="000507C5">
              <w:t>• Redirect th</w:t>
            </w:r>
            <w:r>
              <w:t>e marketing</w:t>
            </w:r>
            <w:r w:rsidR="00A02350" w:rsidRPr="000507C5">
              <w:t xml:space="preserve"> budget to the three high-margin / low-volume “hidden-gems.”</w:t>
            </w:r>
            <w:r w:rsidR="00A02350" w:rsidRPr="0098382C">
              <w:br/>
            </w:r>
            <w:r w:rsidR="00A02350" w:rsidRPr="0098382C">
              <w:rPr>
                <w:b/>
                <w:bCs/>
              </w:rPr>
              <w:t>Pricing focus</w:t>
            </w:r>
            <w:r w:rsidR="00A02350" w:rsidRPr="0098382C">
              <w:t xml:space="preserve"> </w:t>
            </w:r>
            <w:r w:rsidR="00A02350">
              <w:br/>
            </w:r>
            <w:r w:rsidR="00A02350" w:rsidRPr="0098382C">
              <w:t xml:space="preserve">• From the retailer scatter, </w:t>
            </w:r>
            <w:r w:rsidR="00A57DE8" w:rsidRPr="00A57DE8">
              <w:t>flag price-sensitive retailers</w:t>
            </w:r>
            <w:r w:rsidR="00A57DE8">
              <w:t xml:space="preserve"> </w:t>
            </w:r>
            <w:r w:rsidR="00A02350" w:rsidRPr="0098382C">
              <w:t xml:space="preserve">as </w:t>
            </w:r>
            <w:r w:rsidR="00A02350" w:rsidRPr="005F2B37">
              <w:t>price</w:t>
            </w:r>
            <w:r w:rsidR="00A02350" w:rsidRPr="0098382C">
              <w:rPr>
                <w:b/>
                <w:bCs/>
              </w:rPr>
              <w:t>-</w:t>
            </w:r>
            <w:r w:rsidR="00A02350" w:rsidRPr="005F2B37">
              <w:t>sensitive</w:t>
            </w:r>
            <w:r w:rsidR="00A02350" w:rsidRPr="0098382C">
              <w:t xml:space="preserve"> and impose a </w:t>
            </w:r>
            <w:r w:rsidR="00953653" w:rsidRPr="0098382C">
              <w:t>halt</w:t>
            </w:r>
            <w:r w:rsidR="00A02350" w:rsidRPr="0098382C">
              <w:t xml:space="preserve"> on list-price rises. </w:t>
            </w:r>
            <w:r w:rsidR="00A02350">
              <w:br/>
            </w:r>
            <w:r w:rsidR="00A02350" w:rsidRPr="0098382C">
              <w:t>•</w:t>
            </w:r>
            <w:r w:rsidR="00A02350">
              <w:t>Suggestion for a</w:t>
            </w:r>
            <w:r w:rsidR="00A02350" w:rsidRPr="0098382C">
              <w:t xml:space="preserve"> price lift at West Gear and Foot Locker, </w:t>
            </w:r>
            <w:r w:rsidR="00A02350" w:rsidRPr="0098382C">
              <w:lastRenderedPageBreak/>
              <w:t>which sit above the elasticity trend line.</w:t>
            </w:r>
          </w:p>
        </w:tc>
        <w:tc>
          <w:tcPr>
            <w:tcW w:w="4467" w:type="dxa"/>
            <w:hideMark/>
          </w:tcPr>
          <w:p w14:paraId="453B8504" w14:textId="648C64B4" w:rsidR="00A02350" w:rsidRPr="00FD26FF" w:rsidRDefault="00A02350" w:rsidP="00A02350">
            <w:pPr>
              <w:spacing w:after="160" w:line="259" w:lineRule="auto"/>
              <w:rPr>
                <w:i/>
                <w:iCs/>
              </w:rPr>
            </w:pPr>
            <w:r w:rsidRPr="004865A7">
              <w:rPr>
                <w:i/>
                <w:iCs/>
              </w:rPr>
              <w:lastRenderedPageBreak/>
              <w:t>The dashboard already shows which SKUs drain profit and which retailers absorb price. Acting immediately locks in a quick EBIT</w:t>
            </w:r>
            <w:r w:rsidR="00186B91">
              <w:rPr>
                <w:i/>
                <w:iCs/>
              </w:rPr>
              <w:t>(</w:t>
            </w:r>
            <w:r w:rsidR="00186B91" w:rsidRPr="00186B91">
              <w:rPr>
                <w:i/>
                <w:iCs/>
              </w:rPr>
              <w:t>Earnings before interest and taxes</w:t>
            </w:r>
            <w:r w:rsidR="00186B91">
              <w:rPr>
                <w:i/>
                <w:iCs/>
              </w:rPr>
              <w:t>)</w:t>
            </w:r>
            <w:r w:rsidRPr="004865A7">
              <w:rPr>
                <w:i/>
                <w:iCs/>
              </w:rPr>
              <w:t xml:space="preserve"> lift with zero new data collection</w:t>
            </w:r>
            <w:r w:rsidR="00B337B2">
              <w:rPr>
                <w:i/>
                <w:iCs/>
              </w:rPr>
              <w:t xml:space="preserve"> </w:t>
            </w:r>
            <w:r w:rsidR="001C111F" w:rsidRPr="001C111F">
              <w:rPr>
                <w:i/>
                <w:iCs/>
              </w:rPr>
              <w:t>(</w:t>
            </w:r>
            <w:proofErr w:type="spellStart"/>
            <w:r w:rsidR="001C111F" w:rsidRPr="001C111F">
              <w:rPr>
                <w:i/>
                <w:iCs/>
              </w:rPr>
              <w:t>Mărcu</w:t>
            </w:r>
            <w:r w:rsidR="001C111F" w:rsidRPr="001C111F">
              <w:rPr>
                <w:rFonts w:ascii="Cambria" w:hAnsi="Cambria" w:cs="Cambria"/>
                <w:i/>
                <w:iCs/>
              </w:rPr>
              <w:t>ț</w:t>
            </w:r>
            <w:r w:rsidR="001C111F" w:rsidRPr="001C111F">
              <w:rPr>
                <w:rFonts w:cs="Bookman Old Style"/>
                <w:i/>
                <w:iCs/>
              </w:rPr>
              <w:t>ă</w:t>
            </w:r>
            <w:proofErr w:type="spellEnd"/>
            <w:r w:rsidR="001C111F" w:rsidRPr="001C111F">
              <w:rPr>
                <w:i/>
                <w:iCs/>
              </w:rPr>
              <w:t>, 2025)</w:t>
            </w:r>
            <w:r w:rsidR="00B337B2">
              <w:rPr>
                <w:i/>
                <w:iCs/>
              </w:rPr>
              <w:t>.</w:t>
            </w:r>
          </w:p>
        </w:tc>
      </w:tr>
      <w:tr w:rsidR="00A02350" w:rsidRPr="00FD26FF" w14:paraId="56E70239" w14:textId="77777777" w:rsidTr="00A02350">
        <w:tc>
          <w:tcPr>
            <w:tcW w:w="0" w:type="auto"/>
            <w:hideMark/>
          </w:tcPr>
          <w:p w14:paraId="76975BCD" w14:textId="77777777" w:rsidR="00A02350" w:rsidRPr="00FD26FF" w:rsidRDefault="00A02350" w:rsidP="00A02350">
            <w:pPr>
              <w:spacing w:after="160" w:line="259" w:lineRule="auto"/>
            </w:pPr>
            <w:r w:rsidRPr="00FD26FF">
              <w:t>3–9 months</w:t>
            </w:r>
          </w:p>
        </w:tc>
        <w:tc>
          <w:tcPr>
            <w:tcW w:w="0" w:type="auto"/>
            <w:hideMark/>
          </w:tcPr>
          <w:p w14:paraId="27A9CAC0" w14:textId="50645401" w:rsidR="00A02350" w:rsidRPr="00FD26FF" w:rsidRDefault="00A02350" w:rsidP="00A02350">
            <w:pPr>
              <w:spacing w:after="160" w:line="259" w:lineRule="auto"/>
            </w:pPr>
            <w:r w:rsidRPr="003247F4">
              <w:rPr>
                <w:b/>
                <w:bCs/>
              </w:rPr>
              <w:t>Product focus</w:t>
            </w:r>
            <w:r w:rsidRPr="003247F4">
              <w:t xml:space="preserve"> • Run </w:t>
            </w:r>
            <w:r w:rsidRPr="003247F4">
              <w:rPr>
                <w:b/>
                <w:bCs/>
              </w:rPr>
              <w:t>cost-renegotiation meetings</w:t>
            </w:r>
            <w:r w:rsidRPr="003247F4">
              <w:t xml:space="preserve"> with suppliers of the low-margin SKUs</w:t>
            </w:r>
            <w:r>
              <w:t xml:space="preserve">. </w:t>
            </w:r>
            <w:r>
              <w:br/>
            </w:r>
            <w:r w:rsidR="00737E2E">
              <w:t>Pilot</w:t>
            </w:r>
            <w:r>
              <w:t xml:space="preserve"> Bundel selling</w:t>
            </w:r>
            <w:r w:rsidRPr="003247F4">
              <w:t>(e.g., Women’s Athletic Footwear + apparel add-on) in the two least price-sensitive retailers; measure.</w:t>
            </w:r>
            <w:r>
              <w:br/>
            </w:r>
            <w:r w:rsidRPr="005F2B37">
              <w:rPr>
                <w:b/>
                <w:bCs/>
              </w:rPr>
              <w:t>Pricing focus</w:t>
            </w:r>
            <w:r w:rsidRPr="003D63BE">
              <w:t xml:space="preserve"> • Use the combo chart to launch A/B price tests by state: Feed weekly results into trading meetings</w:t>
            </w:r>
            <w:r w:rsidR="005F2B37">
              <w:t xml:space="preserve"> and</w:t>
            </w:r>
            <w:r w:rsidRPr="003D63BE">
              <w:t xml:space="preserve"> adjust trend-line targets.</w:t>
            </w:r>
            <w:r w:rsidRPr="003D63BE">
              <w:tab/>
            </w:r>
          </w:p>
        </w:tc>
        <w:tc>
          <w:tcPr>
            <w:tcW w:w="4467" w:type="dxa"/>
            <w:hideMark/>
          </w:tcPr>
          <w:p w14:paraId="37D3E438" w14:textId="20091918" w:rsidR="00A02350" w:rsidRPr="00FD26FF" w:rsidRDefault="00A02350" w:rsidP="00A02350">
            <w:pPr>
              <w:spacing w:after="160" w:line="259" w:lineRule="auto"/>
              <w:rPr>
                <w:i/>
                <w:iCs/>
              </w:rPr>
            </w:pPr>
            <w:r w:rsidRPr="004865A7">
              <w:rPr>
                <w:i/>
                <w:iCs/>
              </w:rPr>
              <w:t>Builds a test-and-learn loop; the dashboard’s real-time view lets teams see if renegotiations and bundles actually shift quadrant position or elasticity slope</w:t>
            </w:r>
            <w:r w:rsidR="00B337B2">
              <w:rPr>
                <w:i/>
                <w:iCs/>
              </w:rPr>
              <w:t xml:space="preserve"> </w:t>
            </w:r>
            <w:r w:rsidR="001C111F" w:rsidRPr="001C111F">
              <w:rPr>
                <w:i/>
                <w:iCs/>
              </w:rPr>
              <w:t xml:space="preserve">(Lukas </w:t>
            </w:r>
            <w:proofErr w:type="spellStart"/>
            <w:r w:rsidR="001C111F" w:rsidRPr="001C111F">
              <w:rPr>
                <w:i/>
                <w:iCs/>
              </w:rPr>
              <w:t>Erbrich</w:t>
            </w:r>
            <w:proofErr w:type="spellEnd"/>
            <w:r w:rsidR="001C111F" w:rsidRPr="001C111F">
              <w:rPr>
                <w:i/>
                <w:iCs/>
              </w:rPr>
              <w:t xml:space="preserve"> et al., 2024)</w:t>
            </w:r>
            <w:r w:rsidR="00B337B2">
              <w:rPr>
                <w:i/>
                <w:iCs/>
              </w:rPr>
              <w:t>.</w:t>
            </w:r>
          </w:p>
        </w:tc>
      </w:tr>
      <w:tr w:rsidR="00A02350" w:rsidRPr="00FD26FF" w14:paraId="4CD7DE79" w14:textId="77777777" w:rsidTr="00A02350">
        <w:tc>
          <w:tcPr>
            <w:tcW w:w="0" w:type="auto"/>
            <w:hideMark/>
          </w:tcPr>
          <w:p w14:paraId="774D224A" w14:textId="77777777" w:rsidR="00A02350" w:rsidRPr="00FD26FF" w:rsidRDefault="00A02350" w:rsidP="00A02350">
            <w:pPr>
              <w:spacing w:after="160" w:line="259" w:lineRule="auto"/>
            </w:pPr>
            <w:r w:rsidRPr="00FD26FF">
              <w:t>9–18 months</w:t>
            </w:r>
          </w:p>
        </w:tc>
        <w:tc>
          <w:tcPr>
            <w:tcW w:w="0" w:type="auto"/>
            <w:hideMark/>
          </w:tcPr>
          <w:p w14:paraId="65296C10" w14:textId="77777777" w:rsidR="00A02350" w:rsidRPr="00FD26FF" w:rsidRDefault="00A02350" w:rsidP="00A02350">
            <w:pPr>
              <w:spacing w:after="160" w:line="259" w:lineRule="auto"/>
            </w:pPr>
            <w:r w:rsidRPr="003D63BE">
              <w:rPr>
                <w:b/>
                <w:bCs/>
              </w:rPr>
              <w:t>Include return rates and storage costs</w:t>
            </w:r>
            <w:r w:rsidRPr="003D63BE">
              <w:t xml:space="preserve"> when calculating how much profit each product actually makes.</w:t>
            </w:r>
            <w:r w:rsidRPr="003D63BE">
              <w:br/>
              <w:t xml:space="preserve">If any product still </w:t>
            </w:r>
            <w:r w:rsidRPr="005F2B37">
              <w:t>sells poorly and makes little real profit</w:t>
            </w:r>
            <w:r w:rsidRPr="003D63BE">
              <w:t xml:space="preserve"> after all the earlier changes, </w:t>
            </w:r>
            <w:r w:rsidRPr="003D63BE">
              <w:rPr>
                <w:b/>
                <w:bCs/>
              </w:rPr>
              <w:t>stop selling it</w:t>
            </w:r>
            <w:r w:rsidRPr="003D63BE">
              <w:t>.</w:t>
            </w:r>
            <w:r>
              <w:br/>
            </w:r>
            <w:r w:rsidRPr="003D63BE">
              <w:t xml:space="preserve">Use a smart pricing tool that checks how sensitive each state is to price changes, and </w:t>
            </w:r>
            <w:r w:rsidRPr="005F2B37">
              <w:t>automatically suggests small price updates every week.</w:t>
            </w:r>
          </w:p>
        </w:tc>
        <w:tc>
          <w:tcPr>
            <w:tcW w:w="4467" w:type="dxa"/>
            <w:hideMark/>
          </w:tcPr>
          <w:p w14:paraId="01239355" w14:textId="5E6B3BF1" w:rsidR="00A02350" w:rsidRPr="00FD26FF" w:rsidRDefault="00A02350" w:rsidP="00A02350">
            <w:pPr>
              <w:spacing w:after="160" w:line="259" w:lineRule="auto"/>
              <w:rPr>
                <w:i/>
                <w:iCs/>
              </w:rPr>
            </w:pPr>
            <w:r w:rsidRPr="004865A7">
              <w:rPr>
                <w:i/>
                <w:iCs/>
              </w:rPr>
              <w:t>Prices shouldn’t be “one size fits all.” Some states can handle small price increases without losing customers, while others are more sensitive.</w:t>
            </w:r>
            <w:r w:rsidRPr="004865A7">
              <w:rPr>
                <w:i/>
                <w:iCs/>
              </w:rPr>
              <w:br/>
            </w:r>
            <w:r w:rsidR="00760DC5" w:rsidRPr="00760DC5">
              <w:rPr>
                <w:i/>
                <w:iCs/>
              </w:rPr>
              <w:t>Adopt automated pricing tools that incorporate state-level elasticity to recommend incremental adjustments</w:t>
            </w:r>
            <w:r w:rsidR="00B337B2">
              <w:rPr>
                <w:i/>
                <w:iCs/>
              </w:rPr>
              <w:t xml:space="preserve"> </w:t>
            </w:r>
            <w:r w:rsidR="001C111F" w:rsidRPr="001C111F">
              <w:rPr>
                <w:i/>
                <w:iCs/>
              </w:rPr>
              <w:t xml:space="preserve">(Lukas </w:t>
            </w:r>
            <w:proofErr w:type="spellStart"/>
            <w:r w:rsidR="001C111F" w:rsidRPr="001C111F">
              <w:rPr>
                <w:i/>
                <w:iCs/>
              </w:rPr>
              <w:t>Erbrich</w:t>
            </w:r>
            <w:proofErr w:type="spellEnd"/>
            <w:r w:rsidR="001C111F" w:rsidRPr="001C111F">
              <w:rPr>
                <w:i/>
                <w:iCs/>
              </w:rPr>
              <w:t xml:space="preserve"> et al., 2024)</w:t>
            </w:r>
            <w:r w:rsidR="00B337B2">
              <w:rPr>
                <w:i/>
                <w:iCs/>
              </w:rPr>
              <w:t>.</w:t>
            </w:r>
          </w:p>
        </w:tc>
      </w:tr>
    </w:tbl>
    <w:p w14:paraId="313B484C" w14:textId="77777777" w:rsidR="0098382C" w:rsidRDefault="0098382C" w:rsidP="00FD26FF"/>
    <w:p w14:paraId="4E0F78AA" w14:textId="62BEF4BF" w:rsidR="00644C8E" w:rsidRPr="005F2B37" w:rsidRDefault="001F004B" w:rsidP="00FD26FF">
      <w:pPr>
        <w:rPr>
          <w:sz w:val="28"/>
          <w:szCs w:val="28"/>
        </w:rPr>
      </w:pPr>
      <w:r>
        <w:rPr>
          <w:b/>
          <w:bCs/>
          <w:sz w:val="28"/>
          <w:szCs w:val="28"/>
        </w:rPr>
        <w:lastRenderedPageBreak/>
        <w:t xml:space="preserve">Key Takeaways &amp; </w:t>
      </w:r>
      <w:r w:rsidR="00A02350" w:rsidRPr="005F2B37">
        <w:rPr>
          <w:b/>
          <w:bCs/>
          <w:sz w:val="28"/>
          <w:szCs w:val="28"/>
        </w:rPr>
        <w:t>Conclusion</w:t>
      </w:r>
    </w:p>
    <w:p w14:paraId="4AA9746A" w14:textId="30384800" w:rsidR="002728B5" w:rsidRDefault="001F004B">
      <w:r w:rsidRPr="001F004B">
        <w:t xml:space="preserve">The Adidas dashboard </w:t>
      </w:r>
      <w:r w:rsidR="007D0D66" w:rsidRPr="007D0D66">
        <w:t>summarises three findings</w:t>
      </w:r>
      <w:r w:rsidRPr="001F004B">
        <w:t>. First, profit-volume segmentation demonstrates that a small cluster of high-volume SKUs suppresses margin, whereas less visible “hidden gems” generate superior contribution profit. Promotional resources should therefore be redirected. Second, elasticity charts reveal precisely where selective price increases will enhance earnings and where caution is warranted, replacing uniform pricing with targeted action. Third, the phased roadmap links immediate measures</w:t>
      </w:r>
      <w:r>
        <w:t>.</w:t>
      </w:r>
      <w:r w:rsidRPr="001F004B">
        <w:t xml:space="preserve"> </w:t>
      </w:r>
      <w:r w:rsidRPr="00FD26FF">
        <w:t>Occasional outliers, such as clearance events, may skew results, necessitating periodic data validation. Despite these limitations, the dashboard's visual analytics fundamentally enhance internal efficiency and external transparency, equipping our organization to pursue sustained profitability through strategic and informed decision-making.</w:t>
      </w:r>
      <w:r>
        <w:t xml:space="preserve"> </w:t>
      </w:r>
      <w:r w:rsidR="002A47A1">
        <w:t>P</w:t>
      </w:r>
      <w:r w:rsidR="002A47A1" w:rsidRPr="002A47A1">
        <w:t>eriodic data validation remains essential to account for outliers. Despite this, the dashboard improves internal efficiency and partner transparency, supporting sustained, evidence-based profitability</w:t>
      </w:r>
    </w:p>
    <w:p w14:paraId="3DCC9424" w14:textId="77777777" w:rsidR="005D6257" w:rsidRDefault="005D6257" w:rsidP="002C39C8">
      <w:pPr>
        <w:rPr>
          <w:b/>
          <w:bCs/>
          <w:sz w:val="28"/>
          <w:szCs w:val="28"/>
        </w:rPr>
      </w:pPr>
    </w:p>
    <w:p w14:paraId="213EFF2A" w14:textId="77777777" w:rsidR="005D6257" w:rsidRDefault="005D6257" w:rsidP="002C39C8">
      <w:pPr>
        <w:rPr>
          <w:b/>
          <w:bCs/>
          <w:sz w:val="28"/>
          <w:szCs w:val="28"/>
        </w:rPr>
      </w:pPr>
    </w:p>
    <w:p w14:paraId="24E34846" w14:textId="77777777" w:rsidR="005D6257" w:rsidRDefault="005D6257" w:rsidP="002C39C8">
      <w:pPr>
        <w:rPr>
          <w:b/>
          <w:bCs/>
          <w:sz w:val="28"/>
          <w:szCs w:val="28"/>
        </w:rPr>
      </w:pPr>
    </w:p>
    <w:p w14:paraId="636513C1" w14:textId="77777777" w:rsidR="005D6257" w:rsidRDefault="005D6257" w:rsidP="002C39C8">
      <w:pPr>
        <w:rPr>
          <w:b/>
          <w:bCs/>
          <w:sz w:val="28"/>
          <w:szCs w:val="28"/>
        </w:rPr>
      </w:pPr>
    </w:p>
    <w:p w14:paraId="06B93361" w14:textId="77777777" w:rsidR="005D6257" w:rsidRDefault="005D6257" w:rsidP="002C39C8">
      <w:pPr>
        <w:rPr>
          <w:b/>
          <w:bCs/>
          <w:sz w:val="28"/>
          <w:szCs w:val="28"/>
        </w:rPr>
      </w:pPr>
    </w:p>
    <w:p w14:paraId="0FE23FB0" w14:textId="77777777" w:rsidR="005D6257" w:rsidRDefault="005D6257" w:rsidP="002C39C8">
      <w:pPr>
        <w:rPr>
          <w:b/>
          <w:bCs/>
          <w:sz w:val="28"/>
          <w:szCs w:val="28"/>
        </w:rPr>
      </w:pPr>
    </w:p>
    <w:p w14:paraId="482D07D5" w14:textId="77777777" w:rsidR="005D6257" w:rsidRDefault="005D6257" w:rsidP="002C39C8">
      <w:pPr>
        <w:rPr>
          <w:b/>
          <w:bCs/>
          <w:sz w:val="28"/>
          <w:szCs w:val="28"/>
        </w:rPr>
      </w:pPr>
    </w:p>
    <w:p w14:paraId="4466ABA2" w14:textId="77777777" w:rsidR="005D6257" w:rsidRDefault="005D6257" w:rsidP="002C39C8">
      <w:pPr>
        <w:rPr>
          <w:b/>
          <w:bCs/>
          <w:sz w:val="28"/>
          <w:szCs w:val="28"/>
        </w:rPr>
      </w:pPr>
    </w:p>
    <w:p w14:paraId="10AC8D10" w14:textId="77777777" w:rsidR="005D6257" w:rsidRDefault="005D6257" w:rsidP="002C39C8">
      <w:pPr>
        <w:rPr>
          <w:b/>
          <w:bCs/>
          <w:sz w:val="28"/>
          <w:szCs w:val="28"/>
        </w:rPr>
      </w:pPr>
    </w:p>
    <w:p w14:paraId="5FB7A632" w14:textId="77777777" w:rsidR="005D6257" w:rsidRDefault="005D6257" w:rsidP="002C39C8">
      <w:pPr>
        <w:rPr>
          <w:b/>
          <w:bCs/>
          <w:sz w:val="28"/>
          <w:szCs w:val="28"/>
        </w:rPr>
      </w:pPr>
    </w:p>
    <w:p w14:paraId="0E121C99" w14:textId="77777777" w:rsidR="005D6257" w:rsidRDefault="005D6257" w:rsidP="002C39C8">
      <w:pPr>
        <w:rPr>
          <w:b/>
          <w:bCs/>
          <w:sz w:val="28"/>
          <w:szCs w:val="28"/>
        </w:rPr>
      </w:pPr>
    </w:p>
    <w:p w14:paraId="10A2206D" w14:textId="77777777" w:rsidR="005D6257" w:rsidRDefault="005D6257" w:rsidP="002C39C8">
      <w:pPr>
        <w:rPr>
          <w:b/>
          <w:bCs/>
          <w:sz w:val="28"/>
          <w:szCs w:val="28"/>
        </w:rPr>
      </w:pPr>
    </w:p>
    <w:p w14:paraId="64787419" w14:textId="77777777" w:rsidR="005D6257" w:rsidRDefault="005D6257" w:rsidP="002C39C8">
      <w:pPr>
        <w:rPr>
          <w:b/>
          <w:bCs/>
          <w:sz w:val="28"/>
          <w:szCs w:val="28"/>
        </w:rPr>
      </w:pPr>
    </w:p>
    <w:p w14:paraId="474B69E0" w14:textId="77777777" w:rsidR="005D6257" w:rsidRDefault="005D6257" w:rsidP="002C39C8">
      <w:pPr>
        <w:rPr>
          <w:b/>
          <w:bCs/>
          <w:sz w:val="28"/>
          <w:szCs w:val="28"/>
        </w:rPr>
      </w:pPr>
    </w:p>
    <w:p w14:paraId="5BAE29BD" w14:textId="77777777" w:rsidR="005D6257" w:rsidRDefault="005D6257" w:rsidP="002C39C8">
      <w:pPr>
        <w:rPr>
          <w:b/>
          <w:bCs/>
          <w:sz w:val="28"/>
          <w:szCs w:val="28"/>
        </w:rPr>
      </w:pPr>
    </w:p>
    <w:p w14:paraId="3EBC94DC" w14:textId="77777777" w:rsidR="005D6257" w:rsidRDefault="005D6257" w:rsidP="002C39C8">
      <w:pPr>
        <w:rPr>
          <w:b/>
          <w:bCs/>
          <w:sz w:val="28"/>
          <w:szCs w:val="28"/>
        </w:rPr>
      </w:pPr>
    </w:p>
    <w:p w14:paraId="2DF87939" w14:textId="77777777" w:rsidR="005D6257" w:rsidRDefault="005D6257" w:rsidP="002C39C8">
      <w:pPr>
        <w:rPr>
          <w:b/>
          <w:bCs/>
          <w:sz w:val="28"/>
          <w:szCs w:val="28"/>
        </w:rPr>
      </w:pPr>
    </w:p>
    <w:p w14:paraId="1D0A9499" w14:textId="63A78DD1" w:rsidR="00893F46" w:rsidRPr="00F24CD6" w:rsidRDefault="002728B5" w:rsidP="002C39C8">
      <w:pPr>
        <w:rPr>
          <w:b/>
          <w:bCs/>
          <w:sz w:val="28"/>
          <w:szCs w:val="28"/>
        </w:rPr>
      </w:pPr>
      <w:r w:rsidRPr="00F24CD6">
        <w:rPr>
          <w:b/>
          <w:bCs/>
          <w:sz w:val="28"/>
          <w:szCs w:val="28"/>
        </w:rPr>
        <w:lastRenderedPageBreak/>
        <w:t>References:</w:t>
      </w:r>
    </w:p>
    <w:p w14:paraId="567E5B11" w14:textId="5D611279" w:rsidR="00900EF5" w:rsidRPr="00900EF5" w:rsidRDefault="00900EF5" w:rsidP="00900EF5">
      <w:proofErr w:type="spellStart"/>
      <w:r w:rsidRPr="00900EF5">
        <w:t>Erbrich</w:t>
      </w:r>
      <w:proofErr w:type="spellEnd"/>
      <w:r w:rsidRPr="00900EF5">
        <w:t xml:space="preserve">, L., Wellbrock, C.-M., </w:t>
      </w:r>
      <w:proofErr w:type="spellStart"/>
      <w:r w:rsidRPr="00900EF5">
        <w:t>Lobigs</w:t>
      </w:r>
      <w:proofErr w:type="spellEnd"/>
      <w:r w:rsidRPr="00900EF5">
        <w:t xml:space="preserve">, F. and Buschow, C. (2024) ‘Bundling digital journalism: Exploring the potential of subscription-based product bundles’, </w:t>
      </w:r>
      <w:r w:rsidRPr="00900EF5">
        <w:rPr>
          <w:i/>
          <w:iCs/>
        </w:rPr>
        <w:t>Media and Communication</w:t>
      </w:r>
      <w:r w:rsidRPr="00900EF5">
        <w:t xml:space="preserve">, 12. </w:t>
      </w:r>
      <w:hyperlink r:id="rId6" w:tgtFrame="_new" w:history="1">
        <w:r w:rsidRPr="00900EF5">
          <w:rPr>
            <w:rStyle w:val="Hyperlink"/>
          </w:rPr>
          <w:t>https://doi.org/10.17645/mac.7442</w:t>
        </w:r>
      </w:hyperlink>
      <w:r>
        <w:t xml:space="preserve"> (Accessed 31 July 2025)</w:t>
      </w:r>
      <w:r w:rsidR="008E5671">
        <w:t>.</w:t>
      </w:r>
    </w:p>
    <w:p w14:paraId="48787BE8" w14:textId="77777777" w:rsidR="00900EF5" w:rsidRPr="00900EF5" w:rsidRDefault="00900EF5" w:rsidP="00900EF5">
      <w:r w:rsidRPr="00900EF5">
        <w:t xml:space="preserve">Khatri, A. and Gupta, N. (2022) ‘Impact of data visualization on management decisions’, </w:t>
      </w:r>
      <w:r w:rsidRPr="00900EF5">
        <w:rPr>
          <w:i/>
          <w:iCs/>
        </w:rPr>
        <w:t>London Journal of Research in Management and Business</w:t>
      </w:r>
      <w:r w:rsidRPr="00900EF5">
        <w:t xml:space="preserve">, 22(5). Available at: </w:t>
      </w:r>
      <w:hyperlink r:id="rId7" w:tgtFrame="_new" w:history="1">
        <w:r w:rsidRPr="00900EF5">
          <w:rPr>
            <w:rStyle w:val="Hyperlink"/>
          </w:rPr>
          <w:t>https://journalspress.com/LJRMB_Volume22/Impact-of-Data-Visualization-on-Management-Decisions.pdf</w:t>
        </w:r>
      </w:hyperlink>
      <w:r w:rsidRPr="00900EF5">
        <w:t xml:space="preserve"> (Accessed 20 July 2025).</w:t>
      </w:r>
    </w:p>
    <w:p w14:paraId="5136603A" w14:textId="77777777" w:rsidR="00900EF5" w:rsidRPr="00900EF5" w:rsidRDefault="00900EF5" w:rsidP="00900EF5">
      <w:proofErr w:type="spellStart"/>
      <w:r w:rsidRPr="00900EF5">
        <w:t>Mărcu</w:t>
      </w:r>
      <w:r w:rsidRPr="00900EF5">
        <w:rPr>
          <w:rFonts w:ascii="Cambria" w:hAnsi="Cambria" w:cs="Cambria"/>
        </w:rPr>
        <w:t>ț</w:t>
      </w:r>
      <w:r w:rsidRPr="00900EF5">
        <w:rPr>
          <w:rFonts w:cs="Bookman Old Style"/>
        </w:rPr>
        <w:t>ă</w:t>
      </w:r>
      <w:proofErr w:type="spellEnd"/>
      <w:r w:rsidRPr="00900EF5">
        <w:t xml:space="preserve">, C. (2025) </w:t>
      </w:r>
      <w:r w:rsidRPr="00900EF5">
        <w:rPr>
          <w:rFonts w:cs="Bookman Old Style"/>
        </w:rPr>
        <w:t>‘</w:t>
      </w:r>
      <w:r w:rsidRPr="00900EF5">
        <w:t>Creating impactful data visualizations: A retail case study breakdown</w:t>
      </w:r>
      <w:r w:rsidRPr="00900EF5">
        <w:rPr>
          <w:rFonts w:cs="Bookman Old Style"/>
        </w:rPr>
        <w:t>’</w:t>
      </w:r>
      <w:r w:rsidRPr="00900EF5">
        <w:t xml:space="preserve">, </w:t>
      </w:r>
      <w:proofErr w:type="spellStart"/>
      <w:r w:rsidRPr="00900EF5">
        <w:rPr>
          <w:i/>
          <w:iCs/>
        </w:rPr>
        <w:t>Moldstud</w:t>
      </w:r>
      <w:proofErr w:type="spellEnd"/>
      <w:r w:rsidRPr="00900EF5">
        <w:t xml:space="preserve">. Available at: </w:t>
      </w:r>
      <w:hyperlink r:id="rId8" w:tgtFrame="_new" w:history="1">
        <w:r w:rsidRPr="00900EF5">
          <w:rPr>
            <w:rStyle w:val="Hyperlink"/>
          </w:rPr>
          <w:t>https://moldstud.com/articles/p-creating-impactful-data-visualizations-a-retail-case-study-breakdown</w:t>
        </w:r>
      </w:hyperlink>
      <w:r w:rsidRPr="00900EF5">
        <w:t xml:space="preserve"> (Accessed 31 July 2025).</w:t>
      </w:r>
    </w:p>
    <w:p w14:paraId="2E166EF5" w14:textId="77777777" w:rsidR="00900EF5" w:rsidRPr="00900EF5" w:rsidRDefault="00900EF5" w:rsidP="00900EF5">
      <w:r w:rsidRPr="00900EF5">
        <w:t xml:space="preserve">Tawil, A.-R.H., Mohamed, M., </w:t>
      </w:r>
      <w:proofErr w:type="spellStart"/>
      <w:r w:rsidRPr="00900EF5">
        <w:t>Schmoor</w:t>
      </w:r>
      <w:proofErr w:type="spellEnd"/>
      <w:r w:rsidRPr="00900EF5">
        <w:t xml:space="preserve">, X., Vlachos, K. and Haidar, D. (2024) ‘Trends and challenges towards effective data-driven decision making in UK small and medium-sized enterprises: Case studies and lessons learnt from the analysis of 85 small and medium-sized enterprises’, </w:t>
      </w:r>
      <w:r w:rsidRPr="00900EF5">
        <w:rPr>
          <w:i/>
          <w:iCs/>
        </w:rPr>
        <w:t>Big Data and Cognitive Computing</w:t>
      </w:r>
      <w:r w:rsidRPr="00900EF5">
        <w:t xml:space="preserve">, 8(7), 79. Available at: </w:t>
      </w:r>
      <w:hyperlink r:id="rId9" w:tgtFrame="_new" w:history="1">
        <w:r w:rsidRPr="00900EF5">
          <w:rPr>
            <w:rStyle w:val="Hyperlink"/>
          </w:rPr>
          <w:t>https://research.aston.ac.uk/en/publications/trends-and-challenges-towards-effective-data-driven-decision-maki</w:t>
        </w:r>
      </w:hyperlink>
      <w:r w:rsidRPr="00900EF5">
        <w:t xml:space="preserve"> (Accessed 20 July 2025).</w:t>
      </w:r>
    </w:p>
    <w:p w14:paraId="18FE56DB" w14:textId="03C75997" w:rsidR="00F24CD6" w:rsidRPr="00D3302F" w:rsidRDefault="00900EF5" w:rsidP="002C39C8">
      <w:r w:rsidRPr="00900EF5">
        <w:t xml:space="preserve">Wang, J., Huang, Y., </w:t>
      </w:r>
      <w:proofErr w:type="spellStart"/>
      <w:r w:rsidRPr="00900EF5">
        <w:t>Compiani</w:t>
      </w:r>
      <w:proofErr w:type="spellEnd"/>
      <w:r w:rsidRPr="00900EF5">
        <w:t xml:space="preserve">, G., Hsiao, C., Powell, J., Yang, C., Yang, S. and Zeng, G. (2022) ‘Scalable nonparametric price elasticity estimation’. Working paper. Available at: </w:t>
      </w:r>
      <w:hyperlink r:id="rId10" w:tgtFrame="_new" w:history="1">
        <w:r w:rsidRPr="00900EF5">
          <w:rPr>
            <w:rStyle w:val="Hyperlink"/>
          </w:rPr>
          <w:t>https://bpb-us-e2.wpmucdn.com/sites.utdallas.edu/dist/8/1090/files/2023/02/scalable_nonparametric_price_elasticity_estimation.pdf</w:t>
        </w:r>
      </w:hyperlink>
      <w:r w:rsidRPr="00900EF5">
        <w:t xml:space="preserve"> (Accessed 31 July 2025).</w:t>
      </w:r>
    </w:p>
    <w:sectPr w:rsidR="00F24CD6" w:rsidRPr="00D33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5B11"/>
    <w:multiLevelType w:val="multilevel"/>
    <w:tmpl w:val="C28A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15864"/>
    <w:multiLevelType w:val="multilevel"/>
    <w:tmpl w:val="6370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5076"/>
    <w:multiLevelType w:val="multilevel"/>
    <w:tmpl w:val="11D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5305E"/>
    <w:multiLevelType w:val="multilevel"/>
    <w:tmpl w:val="8A4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41D66"/>
    <w:multiLevelType w:val="multilevel"/>
    <w:tmpl w:val="F90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F7178"/>
    <w:multiLevelType w:val="multilevel"/>
    <w:tmpl w:val="B1A8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61941"/>
    <w:multiLevelType w:val="multilevel"/>
    <w:tmpl w:val="2CA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53E52"/>
    <w:multiLevelType w:val="multilevel"/>
    <w:tmpl w:val="025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115D7"/>
    <w:multiLevelType w:val="multilevel"/>
    <w:tmpl w:val="104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273A7"/>
    <w:multiLevelType w:val="multilevel"/>
    <w:tmpl w:val="5D8E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22D32"/>
    <w:multiLevelType w:val="multilevel"/>
    <w:tmpl w:val="3F6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45B5B"/>
    <w:multiLevelType w:val="multilevel"/>
    <w:tmpl w:val="E09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82C74"/>
    <w:multiLevelType w:val="multilevel"/>
    <w:tmpl w:val="2D42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656CDE"/>
    <w:multiLevelType w:val="multilevel"/>
    <w:tmpl w:val="BA862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E1AEE"/>
    <w:multiLevelType w:val="multilevel"/>
    <w:tmpl w:val="AD08A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243911"/>
    <w:multiLevelType w:val="multilevel"/>
    <w:tmpl w:val="07D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D6E4A"/>
    <w:multiLevelType w:val="multilevel"/>
    <w:tmpl w:val="A08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6227A5"/>
    <w:multiLevelType w:val="multilevel"/>
    <w:tmpl w:val="37C8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0D66C3"/>
    <w:multiLevelType w:val="multilevel"/>
    <w:tmpl w:val="17C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535393">
    <w:abstractNumId w:val="14"/>
  </w:num>
  <w:num w:numId="2" w16cid:durableId="639532424">
    <w:abstractNumId w:val="17"/>
  </w:num>
  <w:num w:numId="3" w16cid:durableId="1391230882">
    <w:abstractNumId w:val="6"/>
  </w:num>
  <w:num w:numId="4" w16cid:durableId="960839597">
    <w:abstractNumId w:val="10"/>
  </w:num>
  <w:num w:numId="5" w16cid:durableId="1228103508">
    <w:abstractNumId w:val="9"/>
  </w:num>
  <w:num w:numId="6" w16cid:durableId="688995474">
    <w:abstractNumId w:val="3"/>
  </w:num>
  <w:num w:numId="7" w16cid:durableId="1823038826">
    <w:abstractNumId w:val="4"/>
  </w:num>
  <w:num w:numId="8" w16cid:durableId="1583292986">
    <w:abstractNumId w:val="0"/>
  </w:num>
  <w:num w:numId="9" w16cid:durableId="1531409800">
    <w:abstractNumId w:val="18"/>
  </w:num>
  <w:num w:numId="10" w16cid:durableId="1035496834">
    <w:abstractNumId w:val="15"/>
  </w:num>
  <w:num w:numId="11" w16cid:durableId="1667240885">
    <w:abstractNumId w:val="16"/>
  </w:num>
  <w:num w:numId="12" w16cid:durableId="692728611">
    <w:abstractNumId w:val="12"/>
  </w:num>
  <w:num w:numId="13" w16cid:durableId="770007795">
    <w:abstractNumId w:val="8"/>
  </w:num>
  <w:num w:numId="14" w16cid:durableId="172955908">
    <w:abstractNumId w:val="11"/>
  </w:num>
  <w:num w:numId="15" w16cid:durableId="409086910">
    <w:abstractNumId w:val="13"/>
  </w:num>
  <w:num w:numId="16" w16cid:durableId="152771800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339194523">
    <w:abstractNumId w:val="5"/>
  </w:num>
  <w:num w:numId="18" w16cid:durableId="192309155">
    <w:abstractNumId w:val="1"/>
  </w:num>
  <w:num w:numId="19" w16cid:durableId="307056832">
    <w:abstractNumId w:val="7"/>
  </w:num>
  <w:num w:numId="20" w16cid:durableId="1482502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E3"/>
    <w:rsid w:val="000103D6"/>
    <w:rsid w:val="00042A24"/>
    <w:rsid w:val="0004384E"/>
    <w:rsid w:val="000507C5"/>
    <w:rsid w:val="000747A2"/>
    <w:rsid w:val="000814A2"/>
    <w:rsid w:val="00083897"/>
    <w:rsid w:val="000A1549"/>
    <w:rsid w:val="000A3735"/>
    <w:rsid w:val="000B5004"/>
    <w:rsid w:val="00130E89"/>
    <w:rsid w:val="00150ED1"/>
    <w:rsid w:val="00186B91"/>
    <w:rsid w:val="00197462"/>
    <w:rsid w:val="001B08D3"/>
    <w:rsid w:val="001C111F"/>
    <w:rsid w:val="001E0A5E"/>
    <w:rsid w:val="001E0DFF"/>
    <w:rsid w:val="001F004B"/>
    <w:rsid w:val="001F4B35"/>
    <w:rsid w:val="002079AA"/>
    <w:rsid w:val="002203E3"/>
    <w:rsid w:val="00220653"/>
    <w:rsid w:val="00230F8F"/>
    <w:rsid w:val="00232450"/>
    <w:rsid w:val="00247BAE"/>
    <w:rsid w:val="00252B36"/>
    <w:rsid w:val="002728B5"/>
    <w:rsid w:val="002A47A1"/>
    <w:rsid w:val="002B20B1"/>
    <w:rsid w:val="002C39C8"/>
    <w:rsid w:val="002D5D83"/>
    <w:rsid w:val="003247F4"/>
    <w:rsid w:val="00327682"/>
    <w:rsid w:val="003A3B2B"/>
    <w:rsid w:val="003D63BE"/>
    <w:rsid w:val="003E118B"/>
    <w:rsid w:val="003F1B23"/>
    <w:rsid w:val="0043185B"/>
    <w:rsid w:val="00431AF0"/>
    <w:rsid w:val="004865A7"/>
    <w:rsid w:val="00546800"/>
    <w:rsid w:val="0055091E"/>
    <w:rsid w:val="005B2F87"/>
    <w:rsid w:val="005D6257"/>
    <w:rsid w:val="005F2B37"/>
    <w:rsid w:val="00615F9B"/>
    <w:rsid w:val="00644C8E"/>
    <w:rsid w:val="00690F6F"/>
    <w:rsid w:val="00691C7F"/>
    <w:rsid w:val="006A650C"/>
    <w:rsid w:val="006B3462"/>
    <w:rsid w:val="00730CEB"/>
    <w:rsid w:val="00737E2E"/>
    <w:rsid w:val="00755517"/>
    <w:rsid w:val="00760DC5"/>
    <w:rsid w:val="00781639"/>
    <w:rsid w:val="007943EE"/>
    <w:rsid w:val="007B3109"/>
    <w:rsid w:val="007B7ED5"/>
    <w:rsid w:val="007D0D66"/>
    <w:rsid w:val="007E163C"/>
    <w:rsid w:val="00845334"/>
    <w:rsid w:val="008854BD"/>
    <w:rsid w:val="00893F46"/>
    <w:rsid w:val="008C5BA3"/>
    <w:rsid w:val="008D627A"/>
    <w:rsid w:val="008E1846"/>
    <w:rsid w:val="008E2A85"/>
    <w:rsid w:val="008E5671"/>
    <w:rsid w:val="008F5B9B"/>
    <w:rsid w:val="00900EF5"/>
    <w:rsid w:val="00930D81"/>
    <w:rsid w:val="00934AF8"/>
    <w:rsid w:val="00953653"/>
    <w:rsid w:val="0098382C"/>
    <w:rsid w:val="009E3A99"/>
    <w:rsid w:val="009E5C32"/>
    <w:rsid w:val="00A02350"/>
    <w:rsid w:val="00A1542E"/>
    <w:rsid w:val="00A27C79"/>
    <w:rsid w:val="00A57DE8"/>
    <w:rsid w:val="00A60729"/>
    <w:rsid w:val="00A83AC5"/>
    <w:rsid w:val="00AD7498"/>
    <w:rsid w:val="00B337B2"/>
    <w:rsid w:val="00B92F2D"/>
    <w:rsid w:val="00BB5D10"/>
    <w:rsid w:val="00BE08CA"/>
    <w:rsid w:val="00C44937"/>
    <w:rsid w:val="00C72D2A"/>
    <w:rsid w:val="00C829DC"/>
    <w:rsid w:val="00D20C68"/>
    <w:rsid w:val="00D3302F"/>
    <w:rsid w:val="00D37165"/>
    <w:rsid w:val="00D55046"/>
    <w:rsid w:val="00D63729"/>
    <w:rsid w:val="00DB126B"/>
    <w:rsid w:val="00DB7115"/>
    <w:rsid w:val="00DD473B"/>
    <w:rsid w:val="00E026F1"/>
    <w:rsid w:val="00E26D0C"/>
    <w:rsid w:val="00E3543F"/>
    <w:rsid w:val="00E72E8B"/>
    <w:rsid w:val="00E906D6"/>
    <w:rsid w:val="00E91812"/>
    <w:rsid w:val="00EA0BB2"/>
    <w:rsid w:val="00EC217B"/>
    <w:rsid w:val="00EF2E71"/>
    <w:rsid w:val="00F1734D"/>
    <w:rsid w:val="00F24CD6"/>
    <w:rsid w:val="00F54252"/>
    <w:rsid w:val="00F73BEA"/>
    <w:rsid w:val="00F926D4"/>
    <w:rsid w:val="00FA071D"/>
    <w:rsid w:val="00FA3776"/>
    <w:rsid w:val="00FD26FF"/>
    <w:rsid w:val="00FD3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85E67"/>
  <w15:chartTrackingRefBased/>
  <w15:docId w15:val="{FD1D6095-285A-4009-A945-AECC13D6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heme="minorHAnsi" w:hAnsi="Bookman Old Style"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3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3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3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203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03E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203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03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03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03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3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3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3E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2203E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203E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203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03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03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03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0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3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3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03E3"/>
    <w:pPr>
      <w:spacing w:before="160"/>
      <w:jc w:val="center"/>
    </w:pPr>
    <w:rPr>
      <w:i/>
      <w:iCs/>
      <w:color w:val="404040" w:themeColor="text1" w:themeTint="BF"/>
    </w:rPr>
  </w:style>
  <w:style w:type="character" w:customStyle="1" w:styleId="QuoteChar">
    <w:name w:val="Quote Char"/>
    <w:basedOn w:val="DefaultParagraphFont"/>
    <w:link w:val="Quote"/>
    <w:uiPriority w:val="29"/>
    <w:rsid w:val="002203E3"/>
    <w:rPr>
      <w:i/>
      <w:iCs/>
      <w:color w:val="404040" w:themeColor="text1" w:themeTint="BF"/>
    </w:rPr>
  </w:style>
  <w:style w:type="paragraph" w:styleId="ListParagraph">
    <w:name w:val="List Paragraph"/>
    <w:basedOn w:val="Normal"/>
    <w:uiPriority w:val="34"/>
    <w:qFormat/>
    <w:rsid w:val="002203E3"/>
    <w:pPr>
      <w:ind w:left="720"/>
      <w:contextualSpacing/>
    </w:pPr>
  </w:style>
  <w:style w:type="character" w:styleId="IntenseEmphasis">
    <w:name w:val="Intense Emphasis"/>
    <w:basedOn w:val="DefaultParagraphFont"/>
    <w:uiPriority w:val="21"/>
    <w:qFormat/>
    <w:rsid w:val="002203E3"/>
    <w:rPr>
      <w:i/>
      <w:iCs/>
      <w:color w:val="2F5496" w:themeColor="accent1" w:themeShade="BF"/>
    </w:rPr>
  </w:style>
  <w:style w:type="paragraph" w:styleId="IntenseQuote">
    <w:name w:val="Intense Quote"/>
    <w:basedOn w:val="Normal"/>
    <w:next w:val="Normal"/>
    <w:link w:val="IntenseQuoteChar"/>
    <w:uiPriority w:val="30"/>
    <w:qFormat/>
    <w:rsid w:val="00220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3E3"/>
    <w:rPr>
      <w:i/>
      <w:iCs/>
      <w:color w:val="2F5496" w:themeColor="accent1" w:themeShade="BF"/>
    </w:rPr>
  </w:style>
  <w:style w:type="character" w:styleId="IntenseReference">
    <w:name w:val="Intense Reference"/>
    <w:basedOn w:val="DefaultParagraphFont"/>
    <w:uiPriority w:val="32"/>
    <w:qFormat/>
    <w:rsid w:val="002203E3"/>
    <w:rPr>
      <w:b/>
      <w:bCs/>
      <w:smallCaps/>
      <w:color w:val="2F5496" w:themeColor="accent1" w:themeShade="BF"/>
      <w:spacing w:val="5"/>
    </w:rPr>
  </w:style>
  <w:style w:type="character" w:styleId="Hyperlink">
    <w:name w:val="Hyperlink"/>
    <w:basedOn w:val="DefaultParagraphFont"/>
    <w:uiPriority w:val="99"/>
    <w:unhideWhenUsed/>
    <w:rsid w:val="002203E3"/>
    <w:rPr>
      <w:color w:val="0563C1" w:themeColor="hyperlink"/>
      <w:u w:val="single"/>
    </w:rPr>
  </w:style>
  <w:style w:type="character" w:styleId="UnresolvedMention">
    <w:name w:val="Unresolved Mention"/>
    <w:basedOn w:val="DefaultParagraphFont"/>
    <w:uiPriority w:val="99"/>
    <w:semiHidden/>
    <w:unhideWhenUsed/>
    <w:rsid w:val="002203E3"/>
    <w:rPr>
      <w:color w:val="605E5C"/>
      <w:shd w:val="clear" w:color="auto" w:fill="E1DFDD"/>
    </w:rPr>
  </w:style>
  <w:style w:type="paragraph" w:styleId="NormalWeb">
    <w:name w:val="Normal (Web)"/>
    <w:basedOn w:val="Normal"/>
    <w:uiPriority w:val="99"/>
    <w:semiHidden/>
    <w:unhideWhenUsed/>
    <w:rsid w:val="008854BD"/>
    <w:rPr>
      <w:rFonts w:ascii="Times New Roman" w:hAnsi="Times New Roman" w:cs="Times New Roman"/>
    </w:rPr>
  </w:style>
  <w:style w:type="character" w:styleId="FollowedHyperlink">
    <w:name w:val="FollowedHyperlink"/>
    <w:basedOn w:val="DefaultParagraphFont"/>
    <w:uiPriority w:val="99"/>
    <w:semiHidden/>
    <w:unhideWhenUsed/>
    <w:rsid w:val="00252B36"/>
    <w:rPr>
      <w:color w:val="954F72" w:themeColor="followedHyperlink"/>
      <w:u w:val="single"/>
    </w:rPr>
  </w:style>
  <w:style w:type="table" w:styleId="PlainTable1">
    <w:name w:val="Plain Table 1"/>
    <w:basedOn w:val="TableNormal"/>
    <w:uiPriority w:val="41"/>
    <w:rsid w:val="000507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247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4779">
      <w:bodyDiv w:val="1"/>
      <w:marLeft w:val="0"/>
      <w:marRight w:val="0"/>
      <w:marTop w:val="0"/>
      <w:marBottom w:val="0"/>
      <w:divBdr>
        <w:top w:val="none" w:sz="0" w:space="0" w:color="auto"/>
        <w:left w:val="none" w:sz="0" w:space="0" w:color="auto"/>
        <w:bottom w:val="none" w:sz="0" w:space="0" w:color="auto"/>
        <w:right w:val="none" w:sz="0" w:space="0" w:color="auto"/>
      </w:divBdr>
      <w:divsChild>
        <w:div w:id="288781574">
          <w:marLeft w:val="0"/>
          <w:marRight w:val="0"/>
          <w:marTop w:val="0"/>
          <w:marBottom w:val="150"/>
          <w:divBdr>
            <w:top w:val="none" w:sz="0" w:space="0" w:color="auto"/>
            <w:left w:val="none" w:sz="0" w:space="0" w:color="auto"/>
            <w:bottom w:val="none" w:sz="0" w:space="0" w:color="auto"/>
            <w:right w:val="none" w:sz="0" w:space="0" w:color="auto"/>
          </w:divBdr>
        </w:div>
      </w:divsChild>
    </w:div>
    <w:div w:id="97675559">
      <w:bodyDiv w:val="1"/>
      <w:marLeft w:val="0"/>
      <w:marRight w:val="0"/>
      <w:marTop w:val="0"/>
      <w:marBottom w:val="0"/>
      <w:divBdr>
        <w:top w:val="none" w:sz="0" w:space="0" w:color="auto"/>
        <w:left w:val="none" w:sz="0" w:space="0" w:color="auto"/>
        <w:bottom w:val="none" w:sz="0" w:space="0" w:color="auto"/>
        <w:right w:val="none" w:sz="0" w:space="0" w:color="auto"/>
      </w:divBdr>
    </w:div>
    <w:div w:id="157312848">
      <w:bodyDiv w:val="1"/>
      <w:marLeft w:val="0"/>
      <w:marRight w:val="0"/>
      <w:marTop w:val="0"/>
      <w:marBottom w:val="0"/>
      <w:divBdr>
        <w:top w:val="none" w:sz="0" w:space="0" w:color="auto"/>
        <w:left w:val="none" w:sz="0" w:space="0" w:color="auto"/>
        <w:bottom w:val="none" w:sz="0" w:space="0" w:color="auto"/>
        <w:right w:val="none" w:sz="0" w:space="0" w:color="auto"/>
      </w:divBdr>
    </w:div>
    <w:div w:id="163207490">
      <w:bodyDiv w:val="1"/>
      <w:marLeft w:val="0"/>
      <w:marRight w:val="0"/>
      <w:marTop w:val="0"/>
      <w:marBottom w:val="0"/>
      <w:divBdr>
        <w:top w:val="none" w:sz="0" w:space="0" w:color="auto"/>
        <w:left w:val="none" w:sz="0" w:space="0" w:color="auto"/>
        <w:bottom w:val="none" w:sz="0" w:space="0" w:color="auto"/>
        <w:right w:val="none" w:sz="0" w:space="0" w:color="auto"/>
      </w:divBdr>
      <w:divsChild>
        <w:div w:id="2052458440">
          <w:marLeft w:val="0"/>
          <w:marRight w:val="0"/>
          <w:marTop w:val="0"/>
          <w:marBottom w:val="150"/>
          <w:divBdr>
            <w:top w:val="none" w:sz="0" w:space="0" w:color="auto"/>
            <w:left w:val="none" w:sz="0" w:space="0" w:color="auto"/>
            <w:bottom w:val="none" w:sz="0" w:space="0" w:color="auto"/>
            <w:right w:val="none" w:sz="0" w:space="0" w:color="auto"/>
          </w:divBdr>
        </w:div>
      </w:divsChild>
    </w:div>
    <w:div w:id="208608782">
      <w:bodyDiv w:val="1"/>
      <w:marLeft w:val="0"/>
      <w:marRight w:val="0"/>
      <w:marTop w:val="0"/>
      <w:marBottom w:val="0"/>
      <w:divBdr>
        <w:top w:val="none" w:sz="0" w:space="0" w:color="auto"/>
        <w:left w:val="none" w:sz="0" w:space="0" w:color="auto"/>
        <w:bottom w:val="none" w:sz="0" w:space="0" w:color="auto"/>
        <w:right w:val="none" w:sz="0" w:space="0" w:color="auto"/>
      </w:divBdr>
    </w:div>
    <w:div w:id="269821103">
      <w:bodyDiv w:val="1"/>
      <w:marLeft w:val="0"/>
      <w:marRight w:val="0"/>
      <w:marTop w:val="0"/>
      <w:marBottom w:val="0"/>
      <w:divBdr>
        <w:top w:val="none" w:sz="0" w:space="0" w:color="auto"/>
        <w:left w:val="none" w:sz="0" w:space="0" w:color="auto"/>
        <w:bottom w:val="none" w:sz="0" w:space="0" w:color="auto"/>
        <w:right w:val="none" w:sz="0" w:space="0" w:color="auto"/>
      </w:divBdr>
    </w:div>
    <w:div w:id="347097862">
      <w:bodyDiv w:val="1"/>
      <w:marLeft w:val="0"/>
      <w:marRight w:val="0"/>
      <w:marTop w:val="0"/>
      <w:marBottom w:val="0"/>
      <w:divBdr>
        <w:top w:val="none" w:sz="0" w:space="0" w:color="auto"/>
        <w:left w:val="none" w:sz="0" w:space="0" w:color="auto"/>
        <w:bottom w:val="none" w:sz="0" w:space="0" w:color="auto"/>
        <w:right w:val="none" w:sz="0" w:space="0" w:color="auto"/>
      </w:divBdr>
    </w:div>
    <w:div w:id="356661887">
      <w:bodyDiv w:val="1"/>
      <w:marLeft w:val="0"/>
      <w:marRight w:val="0"/>
      <w:marTop w:val="0"/>
      <w:marBottom w:val="0"/>
      <w:divBdr>
        <w:top w:val="none" w:sz="0" w:space="0" w:color="auto"/>
        <w:left w:val="none" w:sz="0" w:space="0" w:color="auto"/>
        <w:bottom w:val="none" w:sz="0" w:space="0" w:color="auto"/>
        <w:right w:val="none" w:sz="0" w:space="0" w:color="auto"/>
      </w:divBdr>
    </w:div>
    <w:div w:id="391002448">
      <w:bodyDiv w:val="1"/>
      <w:marLeft w:val="0"/>
      <w:marRight w:val="0"/>
      <w:marTop w:val="0"/>
      <w:marBottom w:val="0"/>
      <w:divBdr>
        <w:top w:val="none" w:sz="0" w:space="0" w:color="auto"/>
        <w:left w:val="none" w:sz="0" w:space="0" w:color="auto"/>
        <w:bottom w:val="none" w:sz="0" w:space="0" w:color="auto"/>
        <w:right w:val="none" w:sz="0" w:space="0" w:color="auto"/>
      </w:divBdr>
    </w:div>
    <w:div w:id="417561425">
      <w:bodyDiv w:val="1"/>
      <w:marLeft w:val="0"/>
      <w:marRight w:val="0"/>
      <w:marTop w:val="0"/>
      <w:marBottom w:val="0"/>
      <w:divBdr>
        <w:top w:val="none" w:sz="0" w:space="0" w:color="auto"/>
        <w:left w:val="none" w:sz="0" w:space="0" w:color="auto"/>
        <w:bottom w:val="none" w:sz="0" w:space="0" w:color="auto"/>
        <w:right w:val="none" w:sz="0" w:space="0" w:color="auto"/>
      </w:divBdr>
    </w:div>
    <w:div w:id="426192105">
      <w:bodyDiv w:val="1"/>
      <w:marLeft w:val="0"/>
      <w:marRight w:val="0"/>
      <w:marTop w:val="0"/>
      <w:marBottom w:val="0"/>
      <w:divBdr>
        <w:top w:val="none" w:sz="0" w:space="0" w:color="auto"/>
        <w:left w:val="none" w:sz="0" w:space="0" w:color="auto"/>
        <w:bottom w:val="none" w:sz="0" w:space="0" w:color="auto"/>
        <w:right w:val="none" w:sz="0" w:space="0" w:color="auto"/>
      </w:divBdr>
    </w:div>
    <w:div w:id="478965269">
      <w:bodyDiv w:val="1"/>
      <w:marLeft w:val="0"/>
      <w:marRight w:val="0"/>
      <w:marTop w:val="0"/>
      <w:marBottom w:val="0"/>
      <w:divBdr>
        <w:top w:val="none" w:sz="0" w:space="0" w:color="auto"/>
        <w:left w:val="none" w:sz="0" w:space="0" w:color="auto"/>
        <w:bottom w:val="none" w:sz="0" w:space="0" w:color="auto"/>
        <w:right w:val="none" w:sz="0" w:space="0" w:color="auto"/>
      </w:divBdr>
    </w:div>
    <w:div w:id="562449243">
      <w:bodyDiv w:val="1"/>
      <w:marLeft w:val="0"/>
      <w:marRight w:val="0"/>
      <w:marTop w:val="0"/>
      <w:marBottom w:val="0"/>
      <w:divBdr>
        <w:top w:val="none" w:sz="0" w:space="0" w:color="auto"/>
        <w:left w:val="none" w:sz="0" w:space="0" w:color="auto"/>
        <w:bottom w:val="none" w:sz="0" w:space="0" w:color="auto"/>
        <w:right w:val="none" w:sz="0" w:space="0" w:color="auto"/>
      </w:divBdr>
    </w:div>
    <w:div w:id="586354587">
      <w:bodyDiv w:val="1"/>
      <w:marLeft w:val="0"/>
      <w:marRight w:val="0"/>
      <w:marTop w:val="0"/>
      <w:marBottom w:val="0"/>
      <w:divBdr>
        <w:top w:val="none" w:sz="0" w:space="0" w:color="auto"/>
        <w:left w:val="none" w:sz="0" w:space="0" w:color="auto"/>
        <w:bottom w:val="none" w:sz="0" w:space="0" w:color="auto"/>
        <w:right w:val="none" w:sz="0" w:space="0" w:color="auto"/>
      </w:divBdr>
    </w:div>
    <w:div w:id="598829931">
      <w:bodyDiv w:val="1"/>
      <w:marLeft w:val="0"/>
      <w:marRight w:val="0"/>
      <w:marTop w:val="0"/>
      <w:marBottom w:val="0"/>
      <w:divBdr>
        <w:top w:val="none" w:sz="0" w:space="0" w:color="auto"/>
        <w:left w:val="none" w:sz="0" w:space="0" w:color="auto"/>
        <w:bottom w:val="none" w:sz="0" w:space="0" w:color="auto"/>
        <w:right w:val="none" w:sz="0" w:space="0" w:color="auto"/>
      </w:divBdr>
    </w:div>
    <w:div w:id="631909256">
      <w:bodyDiv w:val="1"/>
      <w:marLeft w:val="0"/>
      <w:marRight w:val="0"/>
      <w:marTop w:val="0"/>
      <w:marBottom w:val="0"/>
      <w:divBdr>
        <w:top w:val="none" w:sz="0" w:space="0" w:color="auto"/>
        <w:left w:val="none" w:sz="0" w:space="0" w:color="auto"/>
        <w:bottom w:val="none" w:sz="0" w:space="0" w:color="auto"/>
        <w:right w:val="none" w:sz="0" w:space="0" w:color="auto"/>
      </w:divBdr>
    </w:div>
    <w:div w:id="654067494">
      <w:bodyDiv w:val="1"/>
      <w:marLeft w:val="0"/>
      <w:marRight w:val="0"/>
      <w:marTop w:val="0"/>
      <w:marBottom w:val="0"/>
      <w:divBdr>
        <w:top w:val="none" w:sz="0" w:space="0" w:color="auto"/>
        <w:left w:val="none" w:sz="0" w:space="0" w:color="auto"/>
        <w:bottom w:val="none" w:sz="0" w:space="0" w:color="auto"/>
        <w:right w:val="none" w:sz="0" w:space="0" w:color="auto"/>
      </w:divBdr>
    </w:div>
    <w:div w:id="692800708">
      <w:bodyDiv w:val="1"/>
      <w:marLeft w:val="0"/>
      <w:marRight w:val="0"/>
      <w:marTop w:val="0"/>
      <w:marBottom w:val="0"/>
      <w:divBdr>
        <w:top w:val="none" w:sz="0" w:space="0" w:color="auto"/>
        <w:left w:val="none" w:sz="0" w:space="0" w:color="auto"/>
        <w:bottom w:val="none" w:sz="0" w:space="0" w:color="auto"/>
        <w:right w:val="none" w:sz="0" w:space="0" w:color="auto"/>
      </w:divBdr>
    </w:div>
    <w:div w:id="721635664">
      <w:bodyDiv w:val="1"/>
      <w:marLeft w:val="0"/>
      <w:marRight w:val="0"/>
      <w:marTop w:val="0"/>
      <w:marBottom w:val="0"/>
      <w:divBdr>
        <w:top w:val="none" w:sz="0" w:space="0" w:color="auto"/>
        <w:left w:val="none" w:sz="0" w:space="0" w:color="auto"/>
        <w:bottom w:val="none" w:sz="0" w:space="0" w:color="auto"/>
        <w:right w:val="none" w:sz="0" w:space="0" w:color="auto"/>
      </w:divBdr>
    </w:div>
    <w:div w:id="750322001">
      <w:bodyDiv w:val="1"/>
      <w:marLeft w:val="0"/>
      <w:marRight w:val="0"/>
      <w:marTop w:val="0"/>
      <w:marBottom w:val="0"/>
      <w:divBdr>
        <w:top w:val="none" w:sz="0" w:space="0" w:color="auto"/>
        <w:left w:val="none" w:sz="0" w:space="0" w:color="auto"/>
        <w:bottom w:val="none" w:sz="0" w:space="0" w:color="auto"/>
        <w:right w:val="none" w:sz="0" w:space="0" w:color="auto"/>
      </w:divBdr>
    </w:div>
    <w:div w:id="818351759">
      <w:bodyDiv w:val="1"/>
      <w:marLeft w:val="0"/>
      <w:marRight w:val="0"/>
      <w:marTop w:val="0"/>
      <w:marBottom w:val="0"/>
      <w:divBdr>
        <w:top w:val="none" w:sz="0" w:space="0" w:color="auto"/>
        <w:left w:val="none" w:sz="0" w:space="0" w:color="auto"/>
        <w:bottom w:val="none" w:sz="0" w:space="0" w:color="auto"/>
        <w:right w:val="none" w:sz="0" w:space="0" w:color="auto"/>
      </w:divBdr>
    </w:div>
    <w:div w:id="818688031">
      <w:bodyDiv w:val="1"/>
      <w:marLeft w:val="0"/>
      <w:marRight w:val="0"/>
      <w:marTop w:val="0"/>
      <w:marBottom w:val="0"/>
      <w:divBdr>
        <w:top w:val="none" w:sz="0" w:space="0" w:color="auto"/>
        <w:left w:val="none" w:sz="0" w:space="0" w:color="auto"/>
        <w:bottom w:val="none" w:sz="0" w:space="0" w:color="auto"/>
        <w:right w:val="none" w:sz="0" w:space="0" w:color="auto"/>
      </w:divBdr>
    </w:div>
    <w:div w:id="832838290">
      <w:bodyDiv w:val="1"/>
      <w:marLeft w:val="0"/>
      <w:marRight w:val="0"/>
      <w:marTop w:val="0"/>
      <w:marBottom w:val="0"/>
      <w:divBdr>
        <w:top w:val="none" w:sz="0" w:space="0" w:color="auto"/>
        <w:left w:val="none" w:sz="0" w:space="0" w:color="auto"/>
        <w:bottom w:val="none" w:sz="0" w:space="0" w:color="auto"/>
        <w:right w:val="none" w:sz="0" w:space="0" w:color="auto"/>
      </w:divBdr>
    </w:div>
    <w:div w:id="875046965">
      <w:bodyDiv w:val="1"/>
      <w:marLeft w:val="0"/>
      <w:marRight w:val="0"/>
      <w:marTop w:val="0"/>
      <w:marBottom w:val="0"/>
      <w:divBdr>
        <w:top w:val="none" w:sz="0" w:space="0" w:color="auto"/>
        <w:left w:val="none" w:sz="0" w:space="0" w:color="auto"/>
        <w:bottom w:val="none" w:sz="0" w:space="0" w:color="auto"/>
        <w:right w:val="none" w:sz="0" w:space="0" w:color="auto"/>
      </w:divBdr>
    </w:div>
    <w:div w:id="877358989">
      <w:bodyDiv w:val="1"/>
      <w:marLeft w:val="0"/>
      <w:marRight w:val="0"/>
      <w:marTop w:val="0"/>
      <w:marBottom w:val="0"/>
      <w:divBdr>
        <w:top w:val="none" w:sz="0" w:space="0" w:color="auto"/>
        <w:left w:val="none" w:sz="0" w:space="0" w:color="auto"/>
        <w:bottom w:val="none" w:sz="0" w:space="0" w:color="auto"/>
        <w:right w:val="none" w:sz="0" w:space="0" w:color="auto"/>
      </w:divBdr>
    </w:div>
    <w:div w:id="907149702">
      <w:bodyDiv w:val="1"/>
      <w:marLeft w:val="0"/>
      <w:marRight w:val="0"/>
      <w:marTop w:val="0"/>
      <w:marBottom w:val="0"/>
      <w:divBdr>
        <w:top w:val="none" w:sz="0" w:space="0" w:color="auto"/>
        <w:left w:val="none" w:sz="0" w:space="0" w:color="auto"/>
        <w:bottom w:val="none" w:sz="0" w:space="0" w:color="auto"/>
        <w:right w:val="none" w:sz="0" w:space="0" w:color="auto"/>
      </w:divBdr>
    </w:div>
    <w:div w:id="927543655">
      <w:bodyDiv w:val="1"/>
      <w:marLeft w:val="0"/>
      <w:marRight w:val="0"/>
      <w:marTop w:val="0"/>
      <w:marBottom w:val="0"/>
      <w:divBdr>
        <w:top w:val="none" w:sz="0" w:space="0" w:color="auto"/>
        <w:left w:val="none" w:sz="0" w:space="0" w:color="auto"/>
        <w:bottom w:val="none" w:sz="0" w:space="0" w:color="auto"/>
        <w:right w:val="none" w:sz="0" w:space="0" w:color="auto"/>
      </w:divBdr>
      <w:divsChild>
        <w:div w:id="933826512">
          <w:marLeft w:val="0"/>
          <w:marRight w:val="0"/>
          <w:marTop w:val="0"/>
          <w:marBottom w:val="150"/>
          <w:divBdr>
            <w:top w:val="none" w:sz="0" w:space="0" w:color="auto"/>
            <w:left w:val="none" w:sz="0" w:space="0" w:color="auto"/>
            <w:bottom w:val="none" w:sz="0" w:space="0" w:color="auto"/>
            <w:right w:val="none" w:sz="0" w:space="0" w:color="auto"/>
          </w:divBdr>
        </w:div>
      </w:divsChild>
    </w:div>
    <w:div w:id="952714058">
      <w:bodyDiv w:val="1"/>
      <w:marLeft w:val="0"/>
      <w:marRight w:val="0"/>
      <w:marTop w:val="0"/>
      <w:marBottom w:val="0"/>
      <w:divBdr>
        <w:top w:val="none" w:sz="0" w:space="0" w:color="auto"/>
        <w:left w:val="none" w:sz="0" w:space="0" w:color="auto"/>
        <w:bottom w:val="none" w:sz="0" w:space="0" w:color="auto"/>
        <w:right w:val="none" w:sz="0" w:space="0" w:color="auto"/>
      </w:divBdr>
    </w:div>
    <w:div w:id="964887982">
      <w:bodyDiv w:val="1"/>
      <w:marLeft w:val="0"/>
      <w:marRight w:val="0"/>
      <w:marTop w:val="0"/>
      <w:marBottom w:val="0"/>
      <w:divBdr>
        <w:top w:val="none" w:sz="0" w:space="0" w:color="auto"/>
        <w:left w:val="none" w:sz="0" w:space="0" w:color="auto"/>
        <w:bottom w:val="none" w:sz="0" w:space="0" w:color="auto"/>
        <w:right w:val="none" w:sz="0" w:space="0" w:color="auto"/>
      </w:divBdr>
    </w:div>
    <w:div w:id="973946060">
      <w:bodyDiv w:val="1"/>
      <w:marLeft w:val="0"/>
      <w:marRight w:val="0"/>
      <w:marTop w:val="0"/>
      <w:marBottom w:val="0"/>
      <w:divBdr>
        <w:top w:val="none" w:sz="0" w:space="0" w:color="auto"/>
        <w:left w:val="none" w:sz="0" w:space="0" w:color="auto"/>
        <w:bottom w:val="none" w:sz="0" w:space="0" w:color="auto"/>
        <w:right w:val="none" w:sz="0" w:space="0" w:color="auto"/>
      </w:divBdr>
    </w:div>
    <w:div w:id="1034042673">
      <w:bodyDiv w:val="1"/>
      <w:marLeft w:val="0"/>
      <w:marRight w:val="0"/>
      <w:marTop w:val="0"/>
      <w:marBottom w:val="0"/>
      <w:divBdr>
        <w:top w:val="none" w:sz="0" w:space="0" w:color="auto"/>
        <w:left w:val="none" w:sz="0" w:space="0" w:color="auto"/>
        <w:bottom w:val="none" w:sz="0" w:space="0" w:color="auto"/>
        <w:right w:val="none" w:sz="0" w:space="0" w:color="auto"/>
      </w:divBdr>
    </w:div>
    <w:div w:id="1051730515">
      <w:bodyDiv w:val="1"/>
      <w:marLeft w:val="0"/>
      <w:marRight w:val="0"/>
      <w:marTop w:val="0"/>
      <w:marBottom w:val="0"/>
      <w:divBdr>
        <w:top w:val="none" w:sz="0" w:space="0" w:color="auto"/>
        <w:left w:val="none" w:sz="0" w:space="0" w:color="auto"/>
        <w:bottom w:val="none" w:sz="0" w:space="0" w:color="auto"/>
        <w:right w:val="none" w:sz="0" w:space="0" w:color="auto"/>
      </w:divBdr>
    </w:div>
    <w:div w:id="1071930361">
      <w:bodyDiv w:val="1"/>
      <w:marLeft w:val="0"/>
      <w:marRight w:val="0"/>
      <w:marTop w:val="0"/>
      <w:marBottom w:val="0"/>
      <w:divBdr>
        <w:top w:val="none" w:sz="0" w:space="0" w:color="auto"/>
        <w:left w:val="none" w:sz="0" w:space="0" w:color="auto"/>
        <w:bottom w:val="none" w:sz="0" w:space="0" w:color="auto"/>
        <w:right w:val="none" w:sz="0" w:space="0" w:color="auto"/>
      </w:divBdr>
    </w:div>
    <w:div w:id="1079406895">
      <w:bodyDiv w:val="1"/>
      <w:marLeft w:val="0"/>
      <w:marRight w:val="0"/>
      <w:marTop w:val="0"/>
      <w:marBottom w:val="0"/>
      <w:divBdr>
        <w:top w:val="none" w:sz="0" w:space="0" w:color="auto"/>
        <w:left w:val="none" w:sz="0" w:space="0" w:color="auto"/>
        <w:bottom w:val="none" w:sz="0" w:space="0" w:color="auto"/>
        <w:right w:val="none" w:sz="0" w:space="0" w:color="auto"/>
      </w:divBdr>
    </w:div>
    <w:div w:id="1099525765">
      <w:bodyDiv w:val="1"/>
      <w:marLeft w:val="0"/>
      <w:marRight w:val="0"/>
      <w:marTop w:val="0"/>
      <w:marBottom w:val="0"/>
      <w:divBdr>
        <w:top w:val="none" w:sz="0" w:space="0" w:color="auto"/>
        <w:left w:val="none" w:sz="0" w:space="0" w:color="auto"/>
        <w:bottom w:val="none" w:sz="0" w:space="0" w:color="auto"/>
        <w:right w:val="none" w:sz="0" w:space="0" w:color="auto"/>
      </w:divBdr>
    </w:div>
    <w:div w:id="1114519901">
      <w:bodyDiv w:val="1"/>
      <w:marLeft w:val="0"/>
      <w:marRight w:val="0"/>
      <w:marTop w:val="0"/>
      <w:marBottom w:val="0"/>
      <w:divBdr>
        <w:top w:val="none" w:sz="0" w:space="0" w:color="auto"/>
        <w:left w:val="none" w:sz="0" w:space="0" w:color="auto"/>
        <w:bottom w:val="none" w:sz="0" w:space="0" w:color="auto"/>
        <w:right w:val="none" w:sz="0" w:space="0" w:color="auto"/>
      </w:divBdr>
    </w:div>
    <w:div w:id="1151141107">
      <w:bodyDiv w:val="1"/>
      <w:marLeft w:val="0"/>
      <w:marRight w:val="0"/>
      <w:marTop w:val="0"/>
      <w:marBottom w:val="0"/>
      <w:divBdr>
        <w:top w:val="none" w:sz="0" w:space="0" w:color="auto"/>
        <w:left w:val="none" w:sz="0" w:space="0" w:color="auto"/>
        <w:bottom w:val="none" w:sz="0" w:space="0" w:color="auto"/>
        <w:right w:val="none" w:sz="0" w:space="0" w:color="auto"/>
      </w:divBdr>
    </w:div>
    <w:div w:id="1172061101">
      <w:bodyDiv w:val="1"/>
      <w:marLeft w:val="0"/>
      <w:marRight w:val="0"/>
      <w:marTop w:val="0"/>
      <w:marBottom w:val="0"/>
      <w:divBdr>
        <w:top w:val="none" w:sz="0" w:space="0" w:color="auto"/>
        <w:left w:val="none" w:sz="0" w:space="0" w:color="auto"/>
        <w:bottom w:val="none" w:sz="0" w:space="0" w:color="auto"/>
        <w:right w:val="none" w:sz="0" w:space="0" w:color="auto"/>
      </w:divBdr>
    </w:div>
    <w:div w:id="1175193830">
      <w:bodyDiv w:val="1"/>
      <w:marLeft w:val="0"/>
      <w:marRight w:val="0"/>
      <w:marTop w:val="0"/>
      <w:marBottom w:val="0"/>
      <w:divBdr>
        <w:top w:val="none" w:sz="0" w:space="0" w:color="auto"/>
        <w:left w:val="none" w:sz="0" w:space="0" w:color="auto"/>
        <w:bottom w:val="none" w:sz="0" w:space="0" w:color="auto"/>
        <w:right w:val="none" w:sz="0" w:space="0" w:color="auto"/>
      </w:divBdr>
    </w:div>
    <w:div w:id="1185368510">
      <w:bodyDiv w:val="1"/>
      <w:marLeft w:val="0"/>
      <w:marRight w:val="0"/>
      <w:marTop w:val="0"/>
      <w:marBottom w:val="0"/>
      <w:divBdr>
        <w:top w:val="none" w:sz="0" w:space="0" w:color="auto"/>
        <w:left w:val="none" w:sz="0" w:space="0" w:color="auto"/>
        <w:bottom w:val="none" w:sz="0" w:space="0" w:color="auto"/>
        <w:right w:val="none" w:sz="0" w:space="0" w:color="auto"/>
      </w:divBdr>
    </w:div>
    <w:div w:id="1200633007">
      <w:bodyDiv w:val="1"/>
      <w:marLeft w:val="0"/>
      <w:marRight w:val="0"/>
      <w:marTop w:val="0"/>
      <w:marBottom w:val="0"/>
      <w:divBdr>
        <w:top w:val="none" w:sz="0" w:space="0" w:color="auto"/>
        <w:left w:val="none" w:sz="0" w:space="0" w:color="auto"/>
        <w:bottom w:val="none" w:sz="0" w:space="0" w:color="auto"/>
        <w:right w:val="none" w:sz="0" w:space="0" w:color="auto"/>
      </w:divBdr>
    </w:div>
    <w:div w:id="1337421141">
      <w:bodyDiv w:val="1"/>
      <w:marLeft w:val="0"/>
      <w:marRight w:val="0"/>
      <w:marTop w:val="0"/>
      <w:marBottom w:val="0"/>
      <w:divBdr>
        <w:top w:val="none" w:sz="0" w:space="0" w:color="auto"/>
        <w:left w:val="none" w:sz="0" w:space="0" w:color="auto"/>
        <w:bottom w:val="none" w:sz="0" w:space="0" w:color="auto"/>
        <w:right w:val="none" w:sz="0" w:space="0" w:color="auto"/>
      </w:divBdr>
    </w:div>
    <w:div w:id="1351760272">
      <w:bodyDiv w:val="1"/>
      <w:marLeft w:val="0"/>
      <w:marRight w:val="0"/>
      <w:marTop w:val="0"/>
      <w:marBottom w:val="0"/>
      <w:divBdr>
        <w:top w:val="none" w:sz="0" w:space="0" w:color="auto"/>
        <w:left w:val="none" w:sz="0" w:space="0" w:color="auto"/>
        <w:bottom w:val="none" w:sz="0" w:space="0" w:color="auto"/>
        <w:right w:val="none" w:sz="0" w:space="0" w:color="auto"/>
      </w:divBdr>
    </w:div>
    <w:div w:id="1358044403">
      <w:bodyDiv w:val="1"/>
      <w:marLeft w:val="0"/>
      <w:marRight w:val="0"/>
      <w:marTop w:val="0"/>
      <w:marBottom w:val="0"/>
      <w:divBdr>
        <w:top w:val="none" w:sz="0" w:space="0" w:color="auto"/>
        <w:left w:val="none" w:sz="0" w:space="0" w:color="auto"/>
        <w:bottom w:val="none" w:sz="0" w:space="0" w:color="auto"/>
        <w:right w:val="none" w:sz="0" w:space="0" w:color="auto"/>
      </w:divBdr>
    </w:div>
    <w:div w:id="1362900040">
      <w:bodyDiv w:val="1"/>
      <w:marLeft w:val="0"/>
      <w:marRight w:val="0"/>
      <w:marTop w:val="0"/>
      <w:marBottom w:val="0"/>
      <w:divBdr>
        <w:top w:val="none" w:sz="0" w:space="0" w:color="auto"/>
        <w:left w:val="none" w:sz="0" w:space="0" w:color="auto"/>
        <w:bottom w:val="none" w:sz="0" w:space="0" w:color="auto"/>
        <w:right w:val="none" w:sz="0" w:space="0" w:color="auto"/>
      </w:divBdr>
    </w:div>
    <w:div w:id="1384867973">
      <w:bodyDiv w:val="1"/>
      <w:marLeft w:val="0"/>
      <w:marRight w:val="0"/>
      <w:marTop w:val="0"/>
      <w:marBottom w:val="0"/>
      <w:divBdr>
        <w:top w:val="none" w:sz="0" w:space="0" w:color="auto"/>
        <w:left w:val="none" w:sz="0" w:space="0" w:color="auto"/>
        <w:bottom w:val="none" w:sz="0" w:space="0" w:color="auto"/>
        <w:right w:val="none" w:sz="0" w:space="0" w:color="auto"/>
      </w:divBdr>
      <w:divsChild>
        <w:div w:id="732002121">
          <w:marLeft w:val="0"/>
          <w:marRight w:val="0"/>
          <w:marTop w:val="0"/>
          <w:marBottom w:val="150"/>
          <w:divBdr>
            <w:top w:val="none" w:sz="0" w:space="0" w:color="auto"/>
            <w:left w:val="none" w:sz="0" w:space="0" w:color="auto"/>
            <w:bottom w:val="none" w:sz="0" w:space="0" w:color="auto"/>
            <w:right w:val="none" w:sz="0" w:space="0" w:color="auto"/>
          </w:divBdr>
        </w:div>
      </w:divsChild>
    </w:div>
    <w:div w:id="1417021040">
      <w:bodyDiv w:val="1"/>
      <w:marLeft w:val="0"/>
      <w:marRight w:val="0"/>
      <w:marTop w:val="0"/>
      <w:marBottom w:val="0"/>
      <w:divBdr>
        <w:top w:val="none" w:sz="0" w:space="0" w:color="auto"/>
        <w:left w:val="none" w:sz="0" w:space="0" w:color="auto"/>
        <w:bottom w:val="none" w:sz="0" w:space="0" w:color="auto"/>
        <w:right w:val="none" w:sz="0" w:space="0" w:color="auto"/>
      </w:divBdr>
    </w:div>
    <w:div w:id="1437677810">
      <w:bodyDiv w:val="1"/>
      <w:marLeft w:val="0"/>
      <w:marRight w:val="0"/>
      <w:marTop w:val="0"/>
      <w:marBottom w:val="0"/>
      <w:divBdr>
        <w:top w:val="none" w:sz="0" w:space="0" w:color="auto"/>
        <w:left w:val="none" w:sz="0" w:space="0" w:color="auto"/>
        <w:bottom w:val="none" w:sz="0" w:space="0" w:color="auto"/>
        <w:right w:val="none" w:sz="0" w:space="0" w:color="auto"/>
      </w:divBdr>
    </w:div>
    <w:div w:id="1450733745">
      <w:bodyDiv w:val="1"/>
      <w:marLeft w:val="0"/>
      <w:marRight w:val="0"/>
      <w:marTop w:val="0"/>
      <w:marBottom w:val="0"/>
      <w:divBdr>
        <w:top w:val="none" w:sz="0" w:space="0" w:color="auto"/>
        <w:left w:val="none" w:sz="0" w:space="0" w:color="auto"/>
        <w:bottom w:val="none" w:sz="0" w:space="0" w:color="auto"/>
        <w:right w:val="none" w:sz="0" w:space="0" w:color="auto"/>
      </w:divBdr>
    </w:div>
    <w:div w:id="1473057078">
      <w:bodyDiv w:val="1"/>
      <w:marLeft w:val="0"/>
      <w:marRight w:val="0"/>
      <w:marTop w:val="0"/>
      <w:marBottom w:val="0"/>
      <w:divBdr>
        <w:top w:val="none" w:sz="0" w:space="0" w:color="auto"/>
        <w:left w:val="none" w:sz="0" w:space="0" w:color="auto"/>
        <w:bottom w:val="none" w:sz="0" w:space="0" w:color="auto"/>
        <w:right w:val="none" w:sz="0" w:space="0" w:color="auto"/>
      </w:divBdr>
    </w:div>
    <w:div w:id="1504009699">
      <w:bodyDiv w:val="1"/>
      <w:marLeft w:val="0"/>
      <w:marRight w:val="0"/>
      <w:marTop w:val="0"/>
      <w:marBottom w:val="0"/>
      <w:divBdr>
        <w:top w:val="none" w:sz="0" w:space="0" w:color="auto"/>
        <w:left w:val="none" w:sz="0" w:space="0" w:color="auto"/>
        <w:bottom w:val="none" w:sz="0" w:space="0" w:color="auto"/>
        <w:right w:val="none" w:sz="0" w:space="0" w:color="auto"/>
      </w:divBdr>
    </w:div>
    <w:div w:id="1507476571">
      <w:bodyDiv w:val="1"/>
      <w:marLeft w:val="0"/>
      <w:marRight w:val="0"/>
      <w:marTop w:val="0"/>
      <w:marBottom w:val="0"/>
      <w:divBdr>
        <w:top w:val="none" w:sz="0" w:space="0" w:color="auto"/>
        <w:left w:val="none" w:sz="0" w:space="0" w:color="auto"/>
        <w:bottom w:val="none" w:sz="0" w:space="0" w:color="auto"/>
        <w:right w:val="none" w:sz="0" w:space="0" w:color="auto"/>
      </w:divBdr>
      <w:divsChild>
        <w:div w:id="911424141">
          <w:marLeft w:val="0"/>
          <w:marRight w:val="0"/>
          <w:marTop w:val="0"/>
          <w:marBottom w:val="150"/>
          <w:divBdr>
            <w:top w:val="none" w:sz="0" w:space="0" w:color="auto"/>
            <w:left w:val="none" w:sz="0" w:space="0" w:color="auto"/>
            <w:bottom w:val="none" w:sz="0" w:space="0" w:color="auto"/>
            <w:right w:val="none" w:sz="0" w:space="0" w:color="auto"/>
          </w:divBdr>
        </w:div>
      </w:divsChild>
    </w:div>
    <w:div w:id="1541433662">
      <w:bodyDiv w:val="1"/>
      <w:marLeft w:val="0"/>
      <w:marRight w:val="0"/>
      <w:marTop w:val="0"/>
      <w:marBottom w:val="0"/>
      <w:divBdr>
        <w:top w:val="none" w:sz="0" w:space="0" w:color="auto"/>
        <w:left w:val="none" w:sz="0" w:space="0" w:color="auto"/>
        <w:bottom w:val="none" w:sz="0" w:space="0" w:color="auto"/>
        <w:right w:val="none" w:sz="0" w:space="0" w:color="auto"/>
      </w:divBdr>
    </w:div>
    <w:div w:id="1599437920">
      <w:bodyDiv w:val="1"/>
      <w:marLeft w:val="0"/>
      <w:marRight w:val="0"/>
      <w:marTop w:val="0"/>
      <w:marBottom w:val="0"/>
      <w:divBdr>
        <w:top w:val="none" w:sz="0" w:space="0" w:color="auto"/>
        <w:left w:val="none" w:sz="0" w:space="0" w:color="auto"/>
        <w:bottom w:val="none" w:sz="0" w:space="0" w:color="auto"/>
        <w:right w:val="none" w:sz="0" w:space="0" w:color="auto"/>
      </w:divBdr>
    </w:div>
    <w:div w:id="1604804166">
      <w:bodyDiv w:val="1"/>
      <w:marLeft w:val="0"/>
      <w:marRight w:val="0"/>
      <w:marTop w:val="0"/>
      <w:marBottom w:val="0"/>
      <w:divBdr>
        <w:top w:val="none" w:sz="0" w:space="0" w:color="auto"/>
        <w:left w:val="none" w:sz="0" w:space="0" w:color="auto"/>
        <w:bottom w:val="none" w:sz="0" w:space="0" w:color="auto"/>
        <w:right w:val="none" w:sz="0" w:space="0" w:color="auto"/>
      </w:divBdr>
    </w:div>
    <w:div w:id="1629702794">
      <w:bodyDiv w:val="1"/>
      <w:marLeft w:val="0"/>
      <w:marRight w:val="0"/>
      <w:marTop w:val="0"/>
      <w:marBottom w:val="0"/>
      <w:divBdr>
        <w:top w:val="none" w:sz="0" w:space="0" w:color="auto"/>
        <w:left w:val="none" w:sz="0" w:space="0" w:color="auto"/>
        <w:bottom w:val="none" w:sz="0" w:space="0" w:color="auto"/>
        <w:right w:val="none" w:sz="0" w:space="0" w:color="auto"/>
      </w:divBdr>
    </w:div>
    <w:div w:id="1641567974">
      <w:bodyDiv w:val="1"/>
      <w:marLeft w:val="0"/>
      <w:marRight w:val="0"/>
      <w:marTop w:val="0"/>
      <w:marBottom w:val="0"/>
      <w:divBdr>
        <w:top w:val="none" w:sz="0" w:space="0" w:color="auto"/>
        <w:left w:val="none" w:sz="0" w:space="0" w:color="auto"/>
        <w:bottom w:val="none" w:sz="0" w:space="0" w:color="auto"/>
        <w:right w:val="none" w:sz="0" w:space="0" w:color="auto"/>
      </w:divBdr>
    </w:div>
    <w:div w:id="1695883833">
      <w:bodyDiv w:val="1"/>
      <w:marLeft w:val="0"/>
      <w:marRight w:val="0"/>
      <w:marTop w:val="0"/>
      <w:marBottom w:val="0"/>
      <w:divBdr>
        <w:top w:val="none" w:sz="0" w:space="0" w:color="auto"/>
        <w:left w:val="none" w:sz="0" w:space="0" w:color="auto"/>
        <w:bottom w:val="none" w:sz="0" w:space="0" w:color="auto"/>
        <w:right w:val="none" w:sz="0" w:space="0" w:color="auto"/>
      </w:divBdr>
    </w:div>
    <w:div w:id="1740859511">
      <w:bodyDiv w:val="1"/>
      <w:marLeft w:val="0"/>
      <w:marRight w:val="0"/>
      <w:marTop w:val="0"/>
      <w:marBottom w:val="0"/>
      <w:divBdr>
        <w:top w:val="none" w:sz="0" w:space="0" w:color="auto"/>
        <w:left w:val="none" w:sz="0" w:space="0" w:color="auto"/>
        <w:bottom w:val="none" w:sz="0" w:space="0" w:color="auto"/>
        <w:right w:val="none" w:sz="0" w:space="0" w:color="auto"/>
      </w:divBdr>
    </w:div>
    <w:div w:id="1763718651">
      <w:bodyDiv w:val="1"/>
      <w:marLeft w:val="0"/>
      <w:marRight w:val="0"/>
      <w:marTop w:val="0"/>
      <w:marBottom w:val="0"/>
      <w:divBdr>
        <w:top w:val="none" w:sz="0" w:space="0" w:color="auto"/>
        <w:left w:val="none" w:sz="0" w:space="0" w:color="auto"/>
        <w:bottom w:val="none" w:sz="0" w:space="0" w:color="auto"/>
        <w:right w:val="none" w:sz="0" w:space="0" w:color="auto"/>
      </w:divBdr>
      <w:divsChild>
        <w:div w:id="1104568112">
          <w:marLeft w:val="0"/>
          <w:marRight w:val="0"/>
          <w:marTop w:val="0"/>
          <w:marBottom w:val="150"/>
          <w:divBdr>
            <w:top w:val="none" w:sz="0" w:space="0" w:color="auto"/>
            <w:left w:val="none" w:sz="0" w:space="0" w:color="auto"/>
            <w:bottom w:val="none" w:sz="0" w:space="0" w:color="auto"/>
            <w:right w:val="none" w:sz="0" w:space="0" w:color="auto"/>
          </w:divBdr>
        </w:div>
      </w:divsChild>
    </w:div>
    <w:div w:id="1810707076">
      <w:bodyDiv w:val="1"/>
      <w:marLeft w:val="0"/>
      <w:marRight w:val="0"/>
      <w:marTop w:val="0"/>
      <w:marBottom w:val="0"/>
      <w:divBdr>
        <w:top w:val="none" w:sz="0" w:space="0" w:color="auto"/>
        <w:left w:val="none" w:sz="0" w:space="0" w:color="auto"/>
        <w:bottom w:val="none" w:sz="0" w:space="0" w:color="auto"/>
        <w:right w:val="none" w:sz="0" w:space="0" w:color="auto"/>
      </w:divBdr>
    </w:div>
    <w:div w:id="1838377163">
      <w:bodyDiv w:val="1"/>
      <w:marLeft w:val="0"/>
      <w:marRight w:val="0"/>
      <w:marTop w:val="0"/>
      <w:marBottom w:val="0"/>
      <w:divBdr>
        <w:top w:val="none" w:sz="0" w:space="0" w:color="auto"/>
        <w:left w:val="none" w:sz="0" w:space="0" w:color="auto"/>
        <w:bottom w:val="none" w:sz="0" w:space="0" w:color="auto"/>
        <w:right w:val="none" w:sz="0" w:space="0" w:color="auto"/>
      </w:divBdr>
    </w:div>
    <w:div w:id="1861436119">
      <w:bodyDiv w:val="1"/>
      <w:marLeft w:val="0"/>
      <w:marRight w:val="0"/>
      <w:marTop w:val="0"/>
      <w:marBottom w:val="0"/>
      <w:divBdr>
        <w:top w:val="none" w:sz="0" w:space="0" w:color="auto"/>
        <w:left w:val="none" w:sz="0" w:space="0" w:color="auto"/>
        <w:bottom w:val="none" w:sz="0" w:space="0" w:color="auto"/>
        <w:right w:val="none" w:sz="0" w:space="0" w:color="auto"/>
      </w:divBdr>
    </w:div>
    <w:div w:id="1874075900">
      <w:bodyDiv w:val="1"/>
      <w:marLeft w:val="0"/>
      <w:marRight w:val="0"/>
      <w:marTop w:val="0"/>
      <w:marBottom w:val="0"/>
      <w:divBdr>
        <w:top w:val="none" w:sz="0" w:space="0" w:color="auto"/>
        <w:left w:val="none" w:sz="0" w:space="0" w:color="auto"/>
        <w:bottom w:val="none" w:sz="0" w:space="0" w:color="auto"/>
        <w:right w:val="none" w:sz="0" w:space="0" w:color="auto"/>
      </w:divBdr>
      <w:divsChild>
        <w:div w:id="43143263">
          <w:marLeft w:val="0"/>
          <w:marRight w:val="0"/>
          <w:marTop w:val="0"/>
          <w:marBottom w:val="150"/>
          <w:divBdr>
            <w:top w:val="none" w:sz="0" w:space="0" w:color="auto"/>
            <w:left w:val="none" w:sz="0" w:space="0" w:color="auto"/>
            <w:bottom w:val="none" w:sz="0" w:space="0" w:color="auto"/>
            <w:right w:val="none" w:sz="0" w:space="0" w:color="auto"/>
          </w:divBdr>
        </w:div>
      </w:divsChild>
    </w:div>
    <w:div w:id="1879510450">
      <w:bodyDiv w:val="1"/>
      <w:marLeft w:val="0"/>
      <w:marRight w:val="0"/>
      <w:marTop w:val="0"/>
      <w:marBottom w:val="0"/>
      <w:divBdr>
        <w:top w:val="none" w:sz="0" w:space="0" w:color="auto"/>
        <w:left w:val="none" w:sz="0" w:space="0" w:color="auto"/>
        <w:bottom w:val="none" w:sz="0" w:space="0" w:color="auto"/>
        <w:right w:val="none" w:sz="0" w:space="0" w:color="auto"/>
      </w:divBdr>
    </w:div>
    <w:div w:id="1971472047">
      <w:bodyDiv w:val="1"/>
      <w:marLeft w:val="0"/>
      <w:marRight w:val="0"/>
      <w:marTop w:val="0"/>
      <w:marBottom w:val="0"/>
      <w:divBdr>
        <w:top w:val="none" w:sz="0" w:space="0" w:color="auto"/>
        <w:left w:val="none" w:sz="0" w:space="0" w:color="auto"/>
        <w:bottom w:val="none" w:sz="0" w:space="0" w:color="auto"/>
        <w:right w:val="none" w:sz="0" w:space="0" w:color="auto"/>
      </w:divBdr>
    </w:div>
    <w:div w:id="1983267539">
      <w:bodyDiv w:val="1"/>
      <w:marLeft w:val="0"/>
      <w:marRight w:val="0"/>
      <w:marTop w:val="0"/>
      <w:marBottom w:val="0"/>
      <w:divBdr>
        <w:top w:val="none" w:sz="0" w:space="0" w:color="auto"/>
        <w:left w:val="none" w:sz="0" w:space="0" w:color="auto"/>
        <w:bottom w:val="none" w:sz="0" w:space="0" w:color="auto"/>
        <w:right w:val="none" w:sz="0" w:space="0" w:color="auto"/>
      </w:divBdr>
    </w:div>
    <w:div w:id="2008242234">
      <w:bodyDiv w:val="1"/>
      <w:marLeft w:val="0"/>
      <w:marRight w:val="0"/>
      <w:marTop w:val="0"/>
      <w:marBottom w:val="0"/>
      <w:divBdr>
        <w:top w:val="none" w:sz="0" w:space="0" w:color="auto"/>
        <w:left w:val="none" w:sz="0" w:space="0" w:color="auto"/>
        <w:bottom w:val="none" w:sz="0" w:space="0" w:color="auto"/>
        <w:right w:val="none" w:sz="0" w:space="0" w:color="auto"/>
      </w:divBdr>
    </w:div>
    <w:div w:id="2034575076">
      <w:bodyDiv w:val="1"/>
      <w:marLeft w:val="0"/>
      <w:marRight w:val="0"/>
      <w:marTop w:val="0"/>
      <w:marBottom w:val="0"/>
      <w:divBdr>
        <w:top w:val="none" w:sz="0" w:space="0" w:color="auto"/>
        <w:left w:val="none" w:sz="0" w:space="0" w:color="auto"/>
        <w:bottom w:val="none" w:sz="0" w:space="0" w:color="auto"/>
        <w:right w:val="none" w:sz="0" w:space="0" w:color="auto"/>
      </w:divBdr>
      <w:divsChild>
        <w:div w:id="879319463">
          <w:marLeft w:val="0"/>
          <w:marRight w:val="0"/>
          <w:marTop w:val="0"/>
          <w:marBottom w:val="150"/>
          <w:divBdr>
            <w:top w:val="none" w:sz="0" w:space="0" w:color="auto"/>
            <w:left w:val="none" w:sz="0" w:space="0" w:color="auto"/>
            <w:bottom w:val="none" w:sz="0" w:space="0" w:color="auto"/>
            <w:right w:val="none" w:sz="0" w:space="0" w:color="auto"/>
          </w:divBdr>
        </w:div>
      </w:divsChild>
    </w:div>
    <w:div w:id="2099475698">
      <w:bodyDiv w:val="1"/>
      <w:marLeft w:val="0"/>
      <w:marRight w:val="0"/>
      <w:marTop w:val="0"/>
      <w:marBottom w:val="0"/>
      <w:divBdr>
        <w:top w:val="none" w:sz="0" w:space="0" w:color="auto"/>
        <w:left w:val="none" w:sz="0" w:space="0" w:color="auto"/>
        <w:bottom w:val="none" w:sz="0" w:space="0" w:color="auto"/>
        <w:right w:val="none" w:sz="0" w:space="0" w:color="auto"/>
      </w:divBdr>
    </w:div>
    <w:div w:id="212985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ldstud.com/articles/p-creating-impactful-data-visualizations-a-retail-case-study-breakdown" TargetMode="External"/><Relationship Id="rId3" Type="http://schemas.openxmlformats.org/officeDocument/2006/relationships/settings" Target="settings.xml"/><Relationship Id="rId7" Type="http://schemas.openxmlformats.org/officeDocument/2006/relationships/hyperlink" Target="https://journalspress.com/LJRMB_Volume22/Impact-of-Data-Visualization-on-Management-Decisions.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7645/mac.7442"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bpb-us-e2.wpmucdn.com/sites.utdallas.edu/dist/8/1090/files/2023/02/scalable_nonparametric_price_elasticity_estimation.pdf" TargetMode="External"/><Relationship Id="rId4" Type="http://schemas.openxmlformats.org/officeDocument/2006/relationships/webSettings" Target="webSettings.xml"/><Relationship Id="rId9" Type="http://schemas.openxmlformats.org/officeDocument/2006/relationships/hyperlink" Target="https://research.aston.ac.uk/en/publications/trends-and-challenges-towards-effective-data-driven-decision-ma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14791</TotalTime>
  <Pages>6</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Saraswat</dc:creator>
  <cp:keywords/>
  <dc:description/>
  <cp:lastModifiedBy>Sarvagya Saraswat</cp:lastModifiedBy>
  <cp:revision>62</cp:revision>
  <dcterms:created xsi:type="dcterms:W3CDTF">2025-07-06T09:23:00Z</dcterms:created>
  <dcterms:modified xsi:type="dcterms:W3CDTF">2025-10-22T22:29:00Z</dcterms:modified>
</cp:coreProperties>
</file>