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b/>
          <w:bCs/>
          <w:color w:val="1F4E79"/>
          <w:sz w:val="52"/>
          <w:szCs w:val="52"/>
        </w:rPr>
        <w:t xml:space="preserve">ACME Corp</w:t>
      </w:r>
    </w:p>
    <w:p>
      <w:pPr>
        <w:spacing w:after="120"/>
      </w:pPr>
      <w:r>
        <w:rPr>
          <w:b/>
          <w:bCs/>
          <w:color w:val="1F4E79"/>
          <w:sz w:val="52"/>
          <w:szCs w:val="52"/>
        </w:rPr>
        <w:t xml:space="preserve">AI Chat Integration</w:t>
      </w:r>
    </w:p>
    <w:p>
      <w:pPr>
        <w:pBdr>
          <w:bottom w:val="single" w:color="1F4E79" w:sz="12" w:space="10"/>
        </w:pBdr>
        <w:spacing w:after="420"/>
      </w:pPr>
      <w:r>
        <w:rPr>
          <w:color w:val="404040"/>
          <w:sz w:val="30"/>
          <w:szCs w:val="30"/>
        </w:rPr>
        <w:t xml:space="preserve">Technical Implementation Guide</w:t>
      </w:r>
    </w:p>
    <w:p>
      <w:pPr>
        <w:spacing w:after="80"/>
      </w:pPr>
      <w:r>
        <w:rPr>
          <w:i/>
          <w:iCs/>
          <w:color w:val="595959"/>
          <w:sz w:val="22"/>
          <w:szCs w:val="22"/>
        </w:rPr>
        <w:t xml:space="preserve">Two AI chat interfaces on Oracle APEX and Autonomous Database: an OCI Generative AI Agent, and a database-native Select AI Agent with six tools.</w:t>
      </w:r>
    </w:p>
    <w:p>
      <w:pPr>
        <w:spacing w:before="900"/>
      </w:pPr>
      <w:r>
        <w:rPr>
          <w:color w:val="595959"/>
          <w:sz w:val="19"/>
          <w:szCs w:val="19"/>
        </w:rPr>
        <w:t xml:space="preserve">Reference implementation — sample data and generic placeholders throughout.</w:t>
      </w:r>
    </w:p>
    <w:p>
      <w:r>
        <w:rPr>
          <w:color w:val="595959"/>
          <w:sz w:val="19"/>
          <w:szCs w:val="19"/>
        </w:rPr>
        <w:t xml:space="preserve">Verified against Oracle AI Database 26ai (23.26.3.2.0).</w:t>
      </w:r>
    </w:p>
    <w:p>
      <w:r>
        <w:br w:type="page"/>
      </w:r>
    </w:p>
    <w:p>
      <w:pPr>
        <w:pStyle w:val="Heading1"/>
        <w:spacing w:after="200"/>
      </w:pPr>
      <w:r>
        <w:t xml:space="preserve">Contents</w:t>
      </w:r>
    </w:p>
    <w:p>
      <w:pPr>
        <w:tabs>
          <w:tab w:val="right" w:pos="9840" w:leader="dot"/>
        </w:tabs>
        <w:spacing w:after="34" w:before="90"/>
        <w:ind w:left="0" w:right="0"/>
      </w:pPr>
      <w:r>
        <w:rPr>
          <w:b/>
          <w:bCs/>
          <w:color w:val="1F4E79"/>
          <w:sz w:val="21"/>
          <w:szCs w:val="21"/>
        </w:rPr>
        <w:t xml:space="preserve">1. Overview</w:t>
      </w:r>
      <w:r>
        <w:rPr>
          <w:sz w:val="20"/>
          <w:szCs w:val="20"/>
        </w:rPr>
        <w:tab/>
      </w:r>
      <w:r>
        <w:rPr>
          <w:b/>
          <w:bCs/>
          <w:color w:val="1F4E79"/>
          <w:sz w:val="20"/>
          <w:szCs w:val="20"/>
        </w:rPr>
        <w:t xml:space="preserve">4</w:t>
      </w:r>
    </w:p>
    <w:p>
      <w:pPr>
        <w:tabs>
          <w:tab w:val="right" w:pos="9840" w:leader="dot"/>
        </w:tabs>
        <w:spacing w:after="34" w:before="0"/>
        <w:ind w:left="300" w:right="0"/>
      </w:pPr>
      <w:r>
        <w:rPr>
          <w:b w:val="false"/>
          <w:bCs w:val="false"/>
          <w:color w:val="404040"/>
          <w:sz w:val="20"/>
          <w:szCs w:val="20"/>
        </w:rPr>
        <w:t xml:space="preserve">1.1 Two approaches</w:t>
      </w:r>
      <w:r>
        <w:rPr>
          <w:sz w:val="20"/>
          <w:szCs w:val="20"/>
        </w:rPr>
        <w:tab/>
      </w:r>
      <w:r>
        <w:rPr>
          <w:b w:val="false"/>
          <w:bCs w:val="false"/>
          <w:color w:val="404040"/>
          <w:sz w:val="20"/>
          <w:szCs w:val="20"/>
        </w:rPr>
        <w:t xml:space="preserve">4</w:t>
      </w:r>
    </w:p>
    <w:p>
      <w:pPr>
        <w:tabs>
          <w:tab w:val="right" w:pos="9840" w:leader="dot"/>
        </w:tabs>
        <w:spacing w:after="34" w:before="0"/>
        <w:ind w:left="300" w:right="0"/>
      </w:pPr>
      <w:r>
        <w:rPr>
          <w:b w:val="false"/>
          <w:bCs w:val="false"/>
          <w:color w:val="404040"/>
          <w:sz w:val="20"/>
          <w:szCs w:val="20"/>
        </w:rPr>
        <w:t xml:space="preserve">1.2 OCI GenAI Agent architecture</w:t>
      </w:r>
      <w:r>
        <w:rPr>
          <w:sz w:val="20"/>
          <w:szCs w:val="20"/>
        </w:rPr>
        <w:tab/>
      </w:r>
      <w:r>
        <w:rPr>
          <w:b w:val="false"/>
          <w:bCs w:val="false"/>
          <w:color w:val="404040"/>
          <w:sz w:val="20"/>
          <w:szCs w:val="20"/>
        </w:rPr>
        <w:t xml:space="preserve">4</w:t>
      </w:r>
    </w:p>
    <w:p>
      <w:pPr>
        <w:tabs>
          <w:tab w:val="right" w:pos="9840" w:leader="dot"/>
        </w:tabs>
        <w:spacing w:after="34" w:before="0"/>
        <w:ind w:left="300" w:right="0"/>
      </w:pPr>
      <w:r>
        <w:rPr>
          <w:b w:val="false"/>
          <w:bCs w:val="false"/>
          <w:color w:val="404040"/>
          <w:sz w:val="20"/>
          <w:szCs w:val="20"/>
        </w:rPr>
        <w:t xml:space="preserve">1.3 Select AI Agent architecture</w:t>
      </w:r>
      <w:r>
        <w:rPr>
          <w:sz w:val="20"/>
          <w:szCs w:val="20"/>
        </w:rPr>
        <w:tab/>
      </w:r>
      <w:r>
        <w:rPr>
          <w:b w:val="false"/>
          <w:bCs w:val="false"/>
          <w:color w:val="404040"/>
          <w:sz w:val="20"/>
          <w:szCs w:val="20"/>
        </w:rPr>
        <w:t xml:space="preserve">4</w:t>
      </w:r>
    </w:p>
    <w:p>
      <w:pPr>
        <w:tabs>
          <w:tab w:val="right" w:pos="9840" w:leader="dot"/>
        </w:tabs>
        <w:spacing w:after="34" w:before="0"/>
        <w:ind w:left="300" w:right="0"/>
      </w:pPr>
      <w:r>
        <w:rPr>
          <w:b w:val="false"/>
          <w:bCs w:val="false"/>
          <w:color w:val="404040"/>
          <w:sz w:val="20"/>
          <w:szCs w:val="20"/>
        </w:rPr>
        <w:t xml:space="preserve">1.4 Component summary</w:t>
      </w:r>
      <w:r>
        <w:rPr>
          <w:sz w:val="20"/>
          <w:szCs w:val="20"/>
        </w:rPr>
        <w:tab/>
      </w:r>
      <w:r>
        <w:rPr>
          <w:b w:val="false"/>
          <w:bCs w:val="false"/>
          <w:color w:val="404040"/>
          <w:sz w:val="20"/>
          <w:szCs w:val="20"/>
        </w:rPr>
        <w:t xml:space="preserve">5</w:t>
      </w:r>
    </w:p>
    <w:p>
      <w:pPr>
        <w:tabs>
          <w:tab w:val="right" w:pos="9840" w:leader="dot"/>
        </w:tabs>
        <w:spacing w:after="34" w:before="90"/>
        <w:ind w:left="0" w:right="0"/>
      </w:pPr>
      <w:r>
        <w:rPr>
          <w:b/>
          <w:bCs/>
          <w:color w:val="1F4E79"/>
          <w:sz w:val="21"/>
          <w:szCs w:val="21"/>
        </w:rPr>
        <w:t xml:space="preserve">2. Prerequisites</w:t>
      </w:r>
      <w:r>
        <w:rPr>
          <w:sz w:val="20"/>
          <w:szCs w:val="20"/>
        </w:rPr>
        <w:tab/>
      </w:r>
      <w:r>
        <w:rPr>
          <w:b/>
          <w:bCs/>
          <w:color w:val="1F4E79"/>
          <w:sz w:val="20"/>
          <w:szCs w:val="20"/>
        </w:rPr>
        <w:t xml:space="preserve">5</w:t>
      </w:r>
    </w:p>
    <w:p>
      <w:pPr>
        <w:tabs>
          <w:tab w:val="right" w:pos="9840" w:leader="dot"/>
        </w:tabs>
        <w:spacing w:after="34" w:before="0"/>
        <w:ind w:left="300" w:right="0"/>
      </w:pPr>
      <w:r>
        <w:rPr>
          <w:b w:val="false"/>
          <w:bCs w:val="false"/>
          <w:color w:val="404040"/>
          <w:sz w:val="20"/>
          <w:szCs w:val="20"/>
        </w:rPr>
        <w:t xml:space="preserve">2.1 OCI access requirements</w:t>
      </w:r>
      <w:r>
        <w:rPr>
          <w:sz w:val="20"/>
          <w:szCs w:val="20"/>
        </w:rPr>
        <w:tab/>
      </w:r>
      <w:r>
        <w:rPr>
          <w:b w:val="false"/>
          <w:bCs w:val="false"/>
          <w:color w:val="404040"/>
          <w:sz w:val="20"/>
          <w:szCs w:val="20"/>
        </w:rPr>
        <w:t xml:space="preserve">5</w:t>
      </w:r>
    </w:p>
    <w:p>
      <w:pPr>
        <w:tabs>
          <w:tab w:val="right" w:pos="9840" w:leader="dot"/>
        </w:tabs>
        <w:spacing w:after="34" w:before="0"/>
        <w:ind w:left="300" w:right="0"/>
      </w:pPr>
      <w:r>
        <w:rPr>
          <w:b w:val="false"/>
          <w:bCs w:val="false"/>
          <w:color w:val="404040"/>
          <w:sz w:val="20"/>
          <w:szCs w:val="20"/>
        </w:rPr>
        <w:t xml:space="preserve">2.2 Database access requirements</w:t>
      </w:r>
      <w:r>
        <w:rPr>
          <w:sz w:val="20"/>
          <w:szCs w:val="20"/>
        </w:rPr>
        <w:tab/>
      </w:r>
      <w:r>
        <w:rPr>
          <w:b w:val="false"/>
          <w:bCs w:val="false"/>
          <w:color w:val="404040"/>
          <w:sz w:val="20"/>
          <w:szCs w:val="20"/>
        </w:rPr>
        <w:t xml:space="preserve">5</w:t>
      </w:r>
    </w:p>
    <w:p>
      <w:pPr>
        <w:tabs>
          <w:tab w:val="right" w:pos="9840" w:leader="dot"/>
        </w:tabs>
        <w:spacing w:after="34" w:before="90"/>
        <w:ind w:left="0" w:right="0"/>
      </w:pPr>
      <w:r>
        <w:rPr>
          <w:b/>
          <w:bCs/>
          <w:color w:val="1F4E79"/>
          <w:sz w:val="21"/>
          <w:szCs w:val="21"/>
        </w:rPr>
        <w:t xml:space="preserve">3. Phase 1 — OCI setup (GenAI Agent)</w:t>
      </w:r>
      <w:r>
        <w:rPr>
          <w:sz w:val="20"/>
          <w:szCs w:val="20"/>
        </w:rPr>
        <w:tab/>
      </w:r>
      <w:r>
        <w:rPr>
          <w:b/>
          <w:bCs/>
          <w:color w:val="1F4E79"/>
          <w:sz w:val="20"/>
          <w:szCs w:val="20"/>
        </w:rPr>
        <w:t xml:space="preserve">6</w:t>
      </w:r>
    </w:p>
    <w:p>
      <w:pPr>
        <w:tabs>
          <w:tab w:val="right" w:pos="9840" w:leader="dot"/>
        </w:tabs>
        <w:spacing w:after="34" w:before="0"/>
        <w:ind w:left="300" w:right="0"/>
      </w:pPr>
      <w:r>
        <w:rPr>
          <w:b w:val="false"/>
          <w:bCs w:val="false"/>
          <w:color w:val="404040"/>
          <w:sz w:val="20"/>
          <w:szCs w:val="20"/>
        </w:rPr>
        <w:t xml:space="preserve">3.1 Object Storage — upload the documents</w:t>
      </w:r>
      <w:r>
        <w:rPr>
          <w:sz w:val="20"/>
          <w:szCs w:val="20"/>
        </w:rPr>
        <w:tab/>
      </w:r>
      <w:r>
        <w:rPr>
          <w:b w:val="false"/>
          <w:bCs w:val="false"/>
          <w:color w:val="404040"/>
          <w:sz w:val="20"/>
          <w:szCs w:val="20"/>
        </w:rPr>
        <w:t xml:space="preserve">6</w:t>
      </w:r>
    </w:p>
    <w:p>
      <w:pPr>
        <w:tabs>
          <w:tab w:val="right" w:pos="9840" w:leader="dot"/>
        </w:tabs>
        <w:spacing w:after="34" w:before="0"/>
        <w:ind w:left="300" w:right="0"/>
      </w:pPr>
      <w:r>
        <w:rPr>
          <w:b w:val="false"/>
          <w:bCs w:val="false"/>
          <w:color w:val="404040"/>
          <w:sz w:val="20"/>
          <w:szCs w:val="20"/>
        </w:rPr>
        <w:t xml:space="preserve">3.2 Create the knowledge base</w:t>
      </w:r>
      <w:r>
        <w:rPr>
          <w:sz w:val="20"/>
          <w:szCs w:val="20"/>
        </w:rPr>
        <w:tab/>
      </w:r>
      <w:r>
        <w:rPr>
          <w:b w:val="false"/>
          <w:bCs w:val="false"/>
          <w:color w:val="404040"/>
          <w:sz w:val="20"/>
          <w:szCs w:val="20"/>
        </w:rPr>
        <w:t xml:space="preserve">6</w:t>
      </w:r>
    </w:p>
    <w:p>
      <w:pPr>
        <w:tabs>
          <w:tab w:val="right" w:pos="9840" w:leader="dot"/>
        </w:tabs>
        <w:spacing w:after="34" w:before="0"/>
        <w:ind w:left="300" w:right="0"/>
      </w:pPr>
      <w:r>
        <w:rPr>
          <w:b w:val="false"/>
          <w:bCs w:val="false"/>
          <w:color w:val="404040"/>
          <w:sz w:val="20"/>
          <w:szCs w:val="20"/>
        </w:rPr>
        <w:t xml:space="preserve">3.3 Create the agent and endpoint</w:t>
      </w:r>
      <w:r>
        <w:rPr>
          <w:sz w:val="20"/>
          <w:szCs w:val="20"/>
        </w:rPr>
        <w:tab/>
      </w:r>
      <w:r>
        <w:rPr>
          <w:b w:val="false"/>
          <w:bCs w:val="false"/>
          <w:color w:val="404040"/>
          <w:sz w:val="20"/>
          <w:szCs w:val="20"/>
        </w:rPr>
        <w:t xml:space="preserve">6</w:t>
      </w:r>
    </w:p>
    <w:p>
      <w:pPr>
        <w:tabs>
          <w:tab w:val="right" w:pos="9840" w:leader="dot"/>
        </w:tabs>
        <w:spacing w:after="34" w:before="90"/>
        <w:ind w:left="0" w:right="0"/>
      </w:pPr>
      <w:r>
        <w:rPr>
          <w:b/>
          <w:bCs/>
          <w:color w:val="1F4E79"/>
          <w:sz w:val="21"/>
          <w:szCs w:val="21"/>
        </w:rPr>
        <w:t xml:space="preserve">4. IAM policy configuration</w:t>
      </w:r>
      <w:r>
        <w:rPr>
          <w:sz w:val="20"/>
          <w:szCs w:val="20"/>
        </w:rPr>
        <w:tab/>
      </w:r>
      <w:r>
        <w:rPr>
          <w:b/>
          <w:bCs/>
          <w:color w:val="1F4E79"/>
          <w:sz w:val="20"/>
          <w:szCs w:val="20"/>
        </w:rPr>
        <w:t xml:space="preserve">6</w:t>
      </w:r>
    </w:p>
    <w:p>
      <w:pPr>
        <w:tabs>
          <w:tab w:val="right" w:pos="9840" w:leader="dot"/>
        </w:tabs>
        <w:spacing w:after="34" w:before="0"/>
        <w:ind w:left="300" w:right="0"/>
      </w:pPr>
      <w:r>
        <w:rPr>
          <w:b w:val="false"/>
          <w:bCs w:val="false"/>
          <w:color w:val="404040"/>
          <w:sz w:val="20"/>
          <w:szCs w:val="20"/>
        </w:rPr>
        <w:t xml:space="preserve">4.1 Policy design</w:t>
      </w:r>
      <w:r>
        <w:rPr>
          <w:sz w:val="20"/>
          <w:szCs w:val="20"/>
        </w:rPr>
        <w:tab/>
      </w:r>
      <w:r>
        <w:rPr>
          <w:b w:val="false"/>
          <w:bCs w:val="false"/>
          <w:color w:val="404040"/>
          <w:sz w:val="20"/>
          <w:szCs w:val="20"/>
        </w:rPr>
        <w:t xml:space="preserve">6</w:t>
      </w:r>
    </w:p>
    <w:p>
      <w:pPr>
        <w:tabs>
          <w:tab w:val="right" w:pos="9840" w:leader="dot"/>
        </w:tabs>
        <w:spacing w:after="34" w:before="0"/>
        <w:ind w:left="300" w:right="0"/>
      </w:pPr>
      <w:r>
        <w:rPr>
          <w:b w:val="false"/>
          <w:bCs w:val="false"/>
          <w:color w:val="404040"/>
          <w:sz w:val="20"/>
          <w:szCs w:val="20"/>
        </w:rPr>
        <w:t xml:space="preserve">4.2 Policy statements</w:t>
      </w:r>
      <w:r>
        <w:rPr>
          <w:sz w:val="20"/>
          <w:szCs w:val="20"/>
        </w:rPr>
        <w:tab/>
      </w:r>
      <w:r>
        <w:rPr>
          <w:b w:val="false"/>
          <w:bCs w:val="false"/>
          <w:color w:val="404040"/>
          <w:sz w:val="20"/>
          <w:szCs w:val="20"/>
        </w:rPr>
        <w:t xml:space="preserve">7</w:t>
      </w:r>
    </w:p>
    <w:p>
      <w:pPr>
        <w:tabs>
          <w:tab w:val="right" w:pos="9840" w:leader="dot"/>
        </w:tabs>
        <w:spacing w:after="34" w:before="0"/>
        <w:ind w:left="300" w:right="0"/>
      </w:pPr>
      <w:r>
        <w:rPr>
          <w:b w:val="false"/>
          <w:bCs w:val="false"/>
          <w:color w:val="404040"/>
          <w:sz w:val="20"/>
          <w:szCs w:val="20"/>
        </w:rPr>
        <w:t xml:space="preserve">4.3 Enable the Resource Principal</w:t>
      </w:r>
      <w:r>
        <w:rPr>
          <w:sz w:val="20"/>
          <w:szCs w:val="20"/>
        </w:rPr>
        <w:tab/>
      </w:r>
      <w:r>
        <w:rPr>
          <w:b w:val="false"/>
          <w:bCs w:val="false"/>
          <w:color w:val="404040"/>
          <w:sz w:val="20"/>
          <w:szCs w:val="20"/>
        </w:rPr>
        <w:t xml:space="preserve">7</w:t>
      </w:r>
    </w:p>
    <w:p>
      <w:pPr>
        <w:tabs>
          <w:tab w:val="right" w:pos="9840" w:leader="dot"/>
        </w:tabs>
        <w:spacing w:after="34" w:before="90"/>
        <w:ind w:left="0" w:right="0"/>
      </w:pPr>
      <w:r>
        <w:rPr>
          <w:b/>
          <w:bCs/>
          <w:color w:val="1F4E79"/>
          <w:sz w:val="21"/>
          <w:szCs w:val="21"/>
        </w:rPr>
        <w:t xml:space="preserve">5. Phase 2 — Database setup (GenAI Agent)</w:t>
      </w:r>
      <w:r>
        <w:rPr>
          <w:sz w:val="20"/>
          <w:szCs w:val="20"/>
        </w:rPr>
        <w:tab/>
      </w:r>
      <w:r>
        <w:rPr>
          <w:b/>
          <w:bCs/>
          <w:color w:val="1F4E79"/>
          <w:sz w:val="20"/>
          <w:szCs w:val="20"/>
        </w:rPr>
        <w:t xml:space="preserve">7</w:t>
      </w:r>
    </w:p>
    <w:p>
      <w:pPr>
        <w:tabs>
          <w:tab w:val="right" w:pos="9840" w:leader="dot"/>
        </w:tabs>
        <w:spacing w:after="34" w:before="0"/>
        <w:ind w:left="300" w:right="0"/>
      </w:pPr>
      <w:r>
        <w:rPr>
          <w:b w:val="false"/>
          <w:bCs w:val="false"/>
          <w:color w:val="404040"/>
          <w:sz w:val="20"/>
          <w:szCs w:val="20"/>
        </w:rPr>
        <w:t xml:space="preserve">5.1 Grant privileges to the agent schema</w:t>
      </w:r>
      <w:r>
        <w:rPr>
          <w:sz w:val="20"/>
          <w:szCs w:val="20"/>
        </w:rPr>
        <w:tab/>
      </w:r>
      <w:r>
        <w:rPr>
          <w:b w:val="false"/>
          <w:bCs w:val="false"/>
          <w:color w:val="404040"/>
          <w:sz w:val="20"/>
          <w:szCs w:val="20"/>
        </w:rPr>
        <w:t xml:space="preserve">7</w:t>
      </w:r>
    </w:p>
    <w:p>
      <w:pPr>
        <w:tabs>
          <w:tab w:val="right" w:pos="9840" w:leader="dot"/>
        </w:tabs>
        <w:spacing w:after="34" w:before="0"/>
        <w:ind w:left="300" w:right="0"/>
      </w:pPr>
      <w:r>
        <w:rPr>
          <w:b w:val="false"/>
          <w:bCs w:val="false"/>
          <w:color w:val="404040"/>
          <w:sz w:val="20"/>
          <w:szCs w:val="20"/>
        </w:rPr>
        <w:t xml:space="preserve">5.2 Chat history tables</w:t>
      </w:r>
      <w:r>
        <w:rPr>
          <w:sz w:val="20"/>
          <w:szCs w:val="20"/>
        </w:rPr>
        <w:tab/>
      </w:r>
      <w:r>
        <w:rPr>
          <w:b w:val="false"/>
          <w:bCs w:val="false"/>
          <w:color w:val="404040"/>
          <w:sz w:val="20"/>
          <w:szCs w:val="20"/>
        </w:rPr>
        <w:t xml:space="preserve">7</w:t>
      </w:r>
    </w:p>
    <w:p>
      <w:pPr>
        <w:tabs>
          <w:tab w:val="right" w:pos="9840" w:leader="dot"/>
        </w:tabs>
        <w:spacing w:after="34" w:before="0"/>
        <w:ind w:left="300" w:right="0"/>
      </w:pPr>
      <w:r>
        <w:rPr>
          <w:b w:val="false"/>
          <w:bCs w:val="false"/>
          <w:color w:val="404040"/>
          <w:sz w:val="20"/>
          <w:szCs w:val="20"/>
        </w:rPr>
        <w:t xml:space="preserve">5.3 The PL/SQL package</w:t>
      </w:r>
      <w:r>
        <w:rPr>
          <w:sz w:val="20"/>
          <w:szCs w:val="20"/>
        </w:rPr>
        <w:tab/>
      </w:r>
      <w:r>
        <w:rPr>
          <w:b w:val="false"/>
          <w:bCs w:val="false"/>
          <w:color w:val="404040"/>
          <w:sz w:val="20"/>
          <w:szCs w:val="20"/>
        </w:rPr>
        <w:t xml:space="preserve">8</w:t>
      </w:r>
    </w:p>
    <w:p>
      <w:pPr>
        <w:tabs>
          <w:tab w:val="right" w:pos="9840" w:leader="dot"/>
        </w:tabs>
        <w:spacing w:after="34" w:before="90"/>
        <w:ind w:left="0" w:right="0"/>
      </w:pPr>
      <w:r>
        <w:rPr>
          <w:b/>
          <w:bCs/>
          <w:color w:val="1F4E79"/>
          <w:sz w:val="21"/>
          <w:szCs w:val="21"/>
        </w:rPr>
        <w:t xml:space="preserve">6. Phase 3 — APEX build (GenAI Agent)</w:t>
      </w:r>
      <w:r>
        <w:rPr>
          <w:sz w:val="20"/>
          <w:szCs w:val="20"/>
        </w:rPr>
        <w:tab/>
      </w:r>
      <w:r>
        <w:rPr>
          <w:b/>
          <w:bCs/>
          <w:color w:val="1F4E79"/>
          <w:sz w:val="20"/>
          <w:szCs w:val="20"/>
        </w:rPr>
        <w:t xml:space="preserve">8</w:t>
      </w:r>
    </w:p>
    <w:p>
      <w:pPr>
        <w:tabs>
          <w:tab w:val="right" w:pos="9840" w:leader="dot"/>
        </w:tabs>
        <w:spacing w:after="34" w:before="0"/>
        <w:ind w:left="300" w:right="0"/>
      </w:pPr>
      <w:r>
        <w:rPr>
          <w:b w:val="false"/>
          <w:bCs w:val="false"/>
          <w:color w:val="404040"/>
          <w:sz w:val="20"/>
          <w:szCs w:val="20"/>
        </w:rPr>
        <w:t xml:space="preserve">6.1 Application summary</w:t>
      </w:r>
      <w:r>
        <w:rPr>
          <w:sz w:val="20"/>
          <w:szCs w:val="20"/>
        </w:rPr>
        <w:tab/>
      </w:r>
      <w:r>
        <w:rPr>
          <w:b w:val="false"/>
          <w:bCs w:val="false"/>
          <w:color w:val="404040"/>
          <w:sz w:val="20"/>
          <w:szCs w:val="20"/>
        </w:rPr>
        <w:t xml:space="preserve">8</w:t>
      </w:r>
    </w:p>
    <w:p>
      <w:pPr>
        <w:tabs>
          <w:tab w:val="right" w:pos="9840" w:leader="dot"/>
        </w:tabs>
        <w:spacing w:after="34" w:before="0"/>
        <w:ind w:left="300" w:right="0"/>
      </w:pPr>
      <w:r>
        <w:rPr>
          <w:b w:val="false"/>
          <w:bCs w:val="false"/>
          <w:color w:val="404040"/>
          <w:sz w:val="20"/>
          <w:szCs w:val="20"/>
        </w:rPr>
        <w:t xml:space="preserve">6.2 Page 2 — classic report</w:t>
      </w:r>
      <w:r>
        <w:rPr>
          <w:sz w:val="20"/>
          <w:szCs w:val="20"/>
        </w:rPr>
        <w:tab/>
      </w:r>
      <w:r>
        <w:rPr>
          <w:b w:val="false"/>
          <w:bCs w:val="false"/>
          <w:color w:val="404040"/>
          <w:sz w:val="20"/>
          <w:szCs w:val="20"/>
        </w:rPr>
        <w:t xml:space="preserve">8</w:t>
      </w:r>
    </w:p>
    <w:p>
      <w:pPr>
        <w:tabs>
          <w:tab w:val="right" w:pos="9840" w:leader="dot"/>
        </w:tabs>
        <w:spacing w:after="34" w:before="0"/>
        <w:ind w:left="300" w:right="0"/>
      </w:pPr>
      <w:r>
        <w:rPr>
          <w:b w:val="false"/>
          <w:bCs w:val="false"/>
          <w:color w:val="404040"/>
          <w:sz w:val="20"/>
          <w:szCs w:val="20"/>
        </w:rPr>
        <w:t xml:space="preserve">6.3 Page 3 — bubble chat</w:t>
      </w:r>
      <w:r>
        <w:rPr>
          <w:sz w:val="20"/>
          <w:szCs w:val="20"/>
        </w:rPr>
        <w:tab/>
      </w:r>
      <w:r>
        <w:rPr>
          <w:b w:val="false"/>
          <w:bCs w:val="false"/>
          <w:color w:val="404040"/>
          <w:sz w:val="20"/>
          <w:szCs w:val="20"/>
        </w:rPr>
        <w:t xml:space="preserve">9</w:t>
      </w:r>
    </w:p>
    <w:p>
      <w:pPr>
        <w:tabs>
          <w:tab w:val="right" w:pos="9840" w:leader="dot"/>
        </w:tabs>
        <w:spacing w:after="34" w:before="90"/>
        <w:ind w:left="0" w:right="0"/>
      </w:pPr>
      <w:r>
        <w:rPr>
          <w:b/>
          <w:bCs/>
          <w:color w:val="1F4E79"/>
          <w:sz w:val="21"/>
          <w:szCs w:val="21"/>
        </w:rPr>
        <w:t xml:space="preserve">7. Troubleshooting the GenAI Agent build</w:t>
      </w:r>
      <w:r>
        <w:rPr>
          <w:sz w:val="20"/>
          <w:szCs w:val="20"/>
        </w:rPr>
        <w:tab/>
      </w:r>
      <w:r>
        <w:rPr>
          <w:b/>
          <w:bCs/>
          <w:color w:val="1F4E79"/>
          <w:sz w:val="20"/>
          <w:szCs w:val="20"/>
        </w:rPr>
        <w:t xml:space="preserve">9</w:t>
      </w:r>
    </w:p>
    <w:p>
      <w:pPr>
        <w:tabs>
          <w:tab w:val="right" w:pos="9840" w:leader="dot"/>
        </w:tabs>
        <w:spacing w:after="34" w:before="0"/>
        <w:ind w:left="300" w:right="0"/>
      </w:pPr>
      <w:r>
        <w:rPr>
          <w:b w:val="false"/>
          <w:bCs w:val="false"/>
          <w:color w:val="404040"/>
          <w:sz w:val="20"/>
          <w:szCs w:val="20"/>
        </w:rPr>
        <w:t xml:space="preserve">7.1 Common errors and resolutions</w:t>
      </w:r>
      <w:r>
        <w:rPr>
          <w:sz w:val="20"/>
          <w:szCs w:val="20"/>
        </w:rPr>
        <w:tab/>
      </w:r>
      <w:r>
        <w:rPr>
          <w:b w:val="false"/>
          <w:bCs w:val="false"/>
          <w:color w:val="404040"/>
          <w:sz w:val="20"/>
          <w:szCs w:val="20"/>
        </w:rPr>
        <w:t xml:space="preserve">9</w:t>
      </w:r>
    </w:p>
    <w:p>
      <w:pPr>
        <w:tabs>
          <w:tab w:val="right" w:pos="9840" w:leader="dot"/>
        </w:tabs>
        <w:spacing w:after="34" w:before="0"/>
        <w:ind w:left="300" w:right="0"/>
      </w:pPr>
      <w:r>
        <w:rPr>
          <w:b w:val="false"/>
          <w:bCs w:val="false"/>
          <w:color w:val="404040"/>
          <w:sz w:val="20"/>
          <w:szCs w:val="20"/>
        </w:rPr>
        <w:t xml:space="preserve">7.2 Verification queries</w:t>
      </w:r>
      <w:r>
        <w:rPr>
          <w:sz w:val="20"/>
          <w:szCs w:val="20"/>
        </w:rPr>
        <w:tab/>
      </w:r>
      <w:r>
        <w:rPr>
          <w:b w:val="false"/>
          <w:bCs w:val="false"/>
          <w:color w:val="404040"/>
          <w:sz w:val="20"/>
          <w:szCs w:val="20"/>
        </w:rPr>
        <w:t xml:space="preserve">9</w:t>
      </w:r>
    </w:p>
    <w:p>
      <w:pPr>
        <w:tabs>
          <w:tab w:val="right" w:pos="9840" w:leader="dot"/>
        </w:tabs>
        <w:spacing w:after="34" w:before="90"/>
        <w:ind w:left="0" w:right="0"/>
      </w:pPr>
      <w:r>
        <w:rPr>
          <w:b/>
          <w:bCs/>
          <w:color w:val="1F4E79"/>
          <w:sz w:val="21"/>
          <w:szCs w:val="21"/>
        </w:rPr>
        <w:t xml:space="preserve">8. Select AI Agent — database implementation</w:t>
      </w:r>
      <w:r>
        <w:rPr>
          <w:sz w:val="20"/>
          <w:szCs w:val="20"/>
        </w:rPr>
        <w:tab/>
      </w:r>
      <w:r>
        <w:rPr>
          <w:b/>
          <w:bCs/>
          <w:color w:val="1F4E79"/>
          <w:sz w:val="20"/>
          <w:szCs w:val="20"/>
        </w:rPr>
        <w:t xml:space="preserve">10</w:t>
      </w:r>
    </w:p>
    <w:p>
      <w:pPr>
        <w:tabs>
          <w:tab w:val="right" w:pos="9840" w:leader="dot"/>
        </w:tabs>
        <w:spacing w:after="34" w:before="0"/>
        <w:ind w:left="300" w:right="0"/>
      </w:pPr>
      <w:r>
        <w:rPr>
          <w:b w:val="false"/>
          <w:bCs w:val="false"/>
          <w:color w:val="404040"/>
          <w:sz w:val="20"/>
          <w:szCs w:val="20"/>
        </w:rPr>
        <w:t xml:space="preserve">8.1 Overview</w:t>
      </w:r>
      <w:r>
        <w:rPr>
          <w:sz w:val="20"/>
          <w:szCs w:val="20"/>
        </w:rPr>
        <w:tab/>
      </w:r>
      <w:r>
        <w:rPr>
          <w:b w:val="false"/>
          <w:bCs w:val="false"/>
          <w:color w:val="404040"/>
          <w:sz w:val="20"/>
          <w:szCs w:val="20"/>
        </w:rPr>
        <w:t xml:space="preserve">10</w:t>
      </w:r>
    </w:p>
    <w:p>
      <w:pPr>
        <w:tabs>
          <w:tab w:val="right" w:pos="9840" w:leader="dot"/>
        </w:tabs>
        <w:spacing w:after="34" w:before="0"/>
        <w:ind w:left="300" w:right="0"/>
      </w:pPr>
      <w:r>
        <w:rPr>
          <w:b w:val="false"/>
          <w:bCs w:val="false"/>
          <w:color w:val="404040"/>
          <w:sz w:val="20"/>
          <w:szCs w:val="20"/>
        </w:rPr>
        <w:t xml:space="preserve">8.2 Create the AI profiles</w:t>
      </w:r>
      <w:r>
        <w:rPr>
          <w:sz w:val="20"/>
          <w:szCs w:val="20"/>
        </w:rPr>
        <w:tab/>
      </w:r>
      <w:r>
        <w:rPr>
          <w:b w:val="false"/>
          <w:bCs w:val="false"/>
          <w:color w:val="404040"/>
          <w:sz w:val="20"/>
          <w:szCs w:val="20"/>
        </w:rPr>
        <w:t xml:space="preserve">10</w:t>
      </w:r>
    </w:p>
    <w:p>
      <w:pPr>
        <w:tabs>
          <w:tab w:val="right" w:pos="9840" w:leader="dot"/>
        </w:tabs>
        <w:spacing w:after="34" w:before="0"/>
        <w:ind w:left="300" w:right="0"/>
      </w:pPr>
      <w:r>
        <w:rPr>
          <w:b w:val="false"/>
          <w:bCs w:val="false"/>
          <w:color w:val="404040"/>
          <w:sz w:val="20"/>
          <w:szCs w:val="20"/>
        </w:rPr>
        <w:t xml:space="preserve">8.3 Create the vector index</w:t>
      </w:r>
      <w:r>
        <w:rPr>
          <w:sz w:val="20"/>
          <w:szCs w:val="20"/>
        </w:rPr>
        <w:tab/>
      </w:r>
      <w:r>
        <w:rPr>
          <w:b w:val="false"/>
          <w:bCs w:val="false"/>
          <w:color w:val="404040"/>
          <w:sz w:val="20"/>
          <w:szCs w:val="20"/>
        </w:rPr>
        <w:t xml:space="preserve">11</w:t>
      </w:r>
    </w:p>
    <w:p>
      <w:pPr>
        <w:tabs>
          <w:tab w:val="right" w:pos="9840" w:leader="dot"/>
        </w:tabs>
        <w:spacing w:after="34" w:before="0"/>
        <w:ind w:left="300" w:right="0"/>
      </w:pPr>
      <w:r>
        <w:rPr>
          <w:b w:val="false"/>
          <w:bCs w:val="false"/>
          <w:color w:val="404040"/>
          <w:sz w:val="20"/>
          <w:szCs w:val="20"/>
        </w:rPr>
        <w:t xml:space="preserve">8.4 Add table and column comments</w:t>
      </w:r>
      <w:r>
        <w:rPr>
          <w:sz w:val="20"/>
          <w:szCs w:val="20"/>
        </w:rPr>
        <w:tab/>
      </w:r>
      <w:r>
        <w:rPr>
          <w:b w:val="false"/>
          <w:bCs w:val="false"/>
          <w:color w:val="404040"/>
          <w:sz w:val="20"/>
          <w:szCs w:val="20"/>
        </w:rPr>
        <w:t xml:space="preserve">12</w:t>
      </w:r>
    </w:p>
    <w:p>
      <w:pPr>
        <w:tabs>
          <w:tab w:val="right" w:pos="9840" w:leader="dot"/>
        </w:tabs>
        <w:spacing w:after="34" w:before="0"/>
        <w:ind w:left="300" w:right="0"/>
      </w:pPr>
      <w:r>
        <w:rPr>
          <w:b w:val="false"/>
          <w:bCs w:val="false"/>
          <w:color w:val="404040"/>
          <w:sz w:val="20"/>
          <w:szCs w:val="20"/>
        </w:rPr>
        <w:t xml:space="preserve">8.5 Create the agent stack</w:t>
      </w:r>
      <w:r>
        <w:rPr>
          <w:sz w:val="20"/>
          <w:szCs w:val="20"/>
        </w:rPr>
        <w:tab/>
      </w:r>
      <w:r>
        <w:rPr>
          <w:b w:val="false"/>
          <w:bCs w:val="false"/>
          <w:color w:val="404040"/>
          <w:sz w:val="20"/>
          <w:szCs w:val="20"/>
        </w:rPr>
        <w:t xml:space="preserve">12</w:t>
      </w:r>
    </w:p>
    <w:p>
      <w:pPr>
        <w:tabs>
          <w:tab w:val="right" w:pos="9840" w:leader="dot"/>
        </w:tabs>
        <w:spacing w:after="34" w:before="0"/>
        <w:ind w:left="300" w:right="0"/>
      </w:pPr>
      <w:r>
        <w:rPr>
          <w:b w:val="false"/>
          <w:bCs w:val="false"/>
          <w:color w:val="404040"/>
          <w:sz w:val="20"/>
          <w:szCs w:val="20"/>
        </w:rPr>
        <w:t xml:space="preserve">8.6 End-to-end test</w:t>
      </w:r>
      <w:r>
        <w:rPr>
          <w:sz w:val="20"/>
          <w:szCs w:val="20"/>
        </w:rPr>
        <w:tab/>
      </w:r>
      <w:r>
        <w:rPr>
          <w:b w:val="false"/>
          <w:bCs w:val="false"/>
          <w:color w:val="404040"/>
          <w:sz w:val="20"/>
          <w:szCs w:val="20"/>
        </w:rPr>
        <w:t xml:space="preserve">13</w:t>
      </w:r>
    </w:p>
    <w:p>
      <w:pPr>
        <w:tabs>
          <w:tab w:val="right" w:pos="9840" w:leader="dot"/>
        </w:tabs>
        <w:spacing w:after="34" w:before="0"/>
        <w:ind w:left="300" w:right="0"/>
      </w:pPr>
      <w:r>
        <w:rPr>
          <w:b w:val="false"/>
          <w:bCs w:val="false"/>
          <w:color w:val="404040"/>
          <w:sz w:val="20"/>
          <w:szCs w:val="20"/>
        </w:rPr>
        <w:t xml:space="preserve">8.7 APEX page 4</w:t>
      </w:r>
      <w:r>
        <w:rPr>
          <w:sz w:val="20"/>
          <w:szCs w:val="20"/>
        </w:rPr>
        <w:tab/>
      </w:r>
      <w:r>
        <w:rPr>
          <w:b w:val="false"/>
          <w:bCs w:val="false"/>
          <w:color w:val="404040"/>
          <w:sz w:val="20"/>
          <w:szCs w:val="20"/>
        </w:rPr>
        <w:t xml:space="preserve">13</w:t>
      </w:r>
    </w:p>
    <w:p>
      <w:pPr>
        <w:tabs>
          <w:tab w:val="right" w:pos="9840" w:leader="dot"/>
        </w:tabs>
        <w:spacing w:after="34" w:before="0"/>
        <w:ind w:left="300" w:right="0"/>
      </w:pPr>
      <w:r>
        <w:rPr>
          <w:b w:val="false"/>
          <w:bCs w:val="false"/>
          <w:color w:val="404040"/>
          <w:sz w:val="20"/>
          <w:szCs w:val="20"/>
        </w:rPr>
        <w:t xml:space="preserve">8.8 Lessons that survive working code</w:t>
      </w:r>
      <w:r>
        <w:rPr>
          <w:sz w:val="20"/>
          <w:szCs w:val="20"/>
        </w:rPr>
        <w:tab/>
      </w:r>
      <w:r>
        <w:rPr>
          <w:b w:val="false"/>
          <w:bCs w:val="false"/>
          <w:color w:val="404040"/>
          <w:sz w:val="20"/>
          <w:szCs w:val="20"/>
        </w:rPr>
        <w:t xml:space="preserve">14</w:t>
      </w:r>
    </w:p>
    <w:p>
      <w:pPr>
        <w:tabs>
          <w:tab w:val="right" w:pos="9840" w:leader="dot"/>
        </w:tabs>
        <w:spacing w:after="34" w:before="90"/>
        <w:ind w:left="0" w:right="0"/>
      </w:pPr>
      <w:r>
        <w:rPr>
          <w:b/>
          <w:bCs/>
          <w:color w:val="1F4E79"/>
          <w:sz w:val="21"/>
          <w:szCs w:val="21"/>
        </w:rPr>
        <w:t xml:space="preserve">9. Custom tools</w:t>
      </w:r>
      <w:r>
        <w:rPr>
          <w:sz w:val="20"/>
          <w:szCs w:val="20"/>
        </w:rPr>
        <w:tab/>
      </w:r>
      <w:r>
        <w:rPr>
          <w:b/>
          <w:bCs/>
          <w:color w:val="1F4E79"/>
          <w:sz w:val="20"/>
          <w:szCs w:val="20"/>
        </w:rPr>
        <w:t xml:space="preserve">14</w:t>
      </w:r>
    </w:p>
    <w:p>
      <w:pPr>
        <w:tabs>
          <w:tab w:val="right" w:pos="9840" w:leader="dot"/>
        </w:tabs>
        <w:spacing w:after="34" w:before="0"/>
        <w:ind w:left="300" w:right="0"/>
      </w:pPr>
      <w:r>
        <w:rPr>
          <w:b w:val="false"/>
          <w:bCs w:val="false"/>
          <w:color w:val="404040"/>
          <w:sz w:val="20"/>
          <w:szCs w:val="20"/>
        </w:rPr>
        <w:t xml:space="preserve">9.1 Overview</w:t>
      </w:r>
      <w:r>
        <w:rPr>
          <w:sz w:val="20"/>
          <w:szCs w:val="20"/>
        </w:rPr>
        <w:tab/>
      </w:r>
      <w:r>
        <w:rPr>
          <w:b w:val="false"/>
          <w:bCs w:val="false"/>
          <w:color w:val="404040"/>
          <w:sz w:val="20"/>
          <w:szCs w:val="20"/>
        </w:rPr>
        <w:t xml:space="preserve">14</w:t>
      </w:r>
    </w:p>
    <w:p>
      <w:pPr>
        <w:tabs>
          <w:tab w:val="right" w:pos="9840" w:leader="dot"/>
        </w:tabs>
        <w:spacing w:after="34" w:before="0"/>
        <w:ind w:left="300" w:right="0"/>
      </w:pPr>
      <w:r>
        <w:rPr>
          <w:b w:val="false"/>
          <w:bCs w:val="false"/>
          <w:color w:val="404040"/>
          <w:sz w:val="20"/>
          <w:szCs w:val="20"/>
        </w:rPr>
        <w:t xml:space="preserve">9.2 Test data</w:t>
      </w:r>
      <w:r>
        <w:rPr>
          <w:sz w:val="20"/>
          <w:szCs w:val="20"/>
        </w:rPr>
        <w:tab/>
      </w:r>
      <w:r>
        <w:rPr>
          <w:b w:val="false"/>
          <w:bCs w:val="false"/>
          <w:color w:val="404040"/>
          <w:sz w:val="20"/>
          <w:szCs w:val="20"/>
        </w:rPr>
        <w:t xml:space="preserve">14</w:t>
      </w:r>
    </w:p>
    <w:p>
      <w:pPr>
        <w:tabs>
          <w:tab w:val="right" w:pos="9840" w:leader="dot"/>
        </w:tabs>
        <w:spacing w:after="34" w:before="0"/>
        <w:ind w:left="300" w:right="0"/>
      </w:pPr>
      <w:r>
        <w:rPr>
          <w:b w:val="false"/>
          <w:bCs w:val="false"/>
          <w:color w:val="404040"/>
          <w:sz w:val="20"/>
          <w:szCs w:val="20"/>
        </w:rPr>
        <w:t xml:space="preserve">9.3 Trend, forecast and anomaly tools</w:t>
      </w:r>
      <w:r>
        <w:rPr>
          <w:sz w:val="20"/>
          <w:szCs w:val="20"/>
        </w:rPr>
        <w:tab/>
      </w:r>
      <w:r>
        <w:rPr>
          <w:b w:val="false"/>
          <w:bCs w:val="false"/>
          <w:color w:val="404040"/>
          <w:sz w:val="20"/>
          <w:szCs w:val="20"/>
        </w:rPr>
        <w:t xml:space="preserve">15</w:t>
      </w:r>
    </w:p>
    <w:p>
      <w:pPr>
        <w:tabs>
          <w:tab w:val="right" w:pos="9840" w:leader="dot"/>
        </w:tabs>
        <w:spacing w:after="34" w:before="0"/>
        <w:ind w:left="300" w:right="0"/>
      </w:pPr>
      <w:r>
        <w:rPr>
          <w:b w:val="false"/>
          <w:bCs w:val="false"/>
          <w:color w:val="404040"/>
          <w:sz w:val="20"/>
          <w:szCs w:val="20"/>
        </w:rPr>
        <w:t xml:space="preserve">9.4 Reconciling SQL and Python statistics</w:t>
      </w:r>
      <w:r>
        <w:rPr>
          <w:sz w:val="20"/>
          <w:szCs w:val="20"/>
        </w:rPr>
        <w:tab/>
      </w:r>
      <w:r>
        <w:rPr>
          <w:b w:val="false"/>
          <w:bCs w:val="false"/>
          <w:color w:val="404040"/>
          <w:sz w:val="20"/>
          <w:szCs w:val="20"/>
        </w:rPr>
        <w:t xml:space="preserve">15</w:t>
      </w:r>
    </w:p>
    <w:p>
      <w:pPr>
        <w:tabs>
          <w:tab w:val="right" w:pos="9840" w:leader="dot"/>
        </w:tabs>
        <w:spacing w:after="34" w:before="0"/>
        <w:ind w:left="300" w:right="0"/>
      </w:pPr>
      <w:r>
        <w:rPr>
          <w:b w:val="false"/>
          <w:bCs w:val="false"/>
          <w:color w:val="404040"/>
          <w:sz w:val="20"/>
          <w:szCs w:val="20"/>
        </w:rPr>
        <w:t xml:space="preserve">9.5 The Python tool — OML4Py Embedded Python Execution</w:t>
      </w:r>
      <w:r>
        <w:rPr>
          <w:sz w:val="20"/>
          <w:szCs w:val="20"/>
        </w:rPr>
        <w:tab/>
      </w:r>
      <w:r>
        <w:rPr>
          <w:b w:val="false"/>
          <w:bCs w:val="false"/>
          <w:color w:val="404040"/>
          <w:sz w:val="20"/>
          <w:szCs w:val="20"/>
        </w:rPr>
        <w:t xml:space="preserve">15</w:t>
      </w:r>
    </w:p>
    <w:p>
      <w:pPr>
        <w:tabs>
          <w:tab w:val="right" w:pos="9840" w:leader="dot"/>
        </w:tabs>
        <w:spacing w:after="34" w:before="0"/>
        <w:ind w:left="300" w:right="0"/>
      </w:pPr>
      <w:r>
        <w:rPr>
          <w:b w:val="false"/>
          <w:bCs w:val="false"/>
          <w:color w:val="404040"/>
          <w:sz w:val="20"/>
          <w:szCs w:val="20"/>
        </w:rPr>
        <w:t xml:space="preserve">9.6 EPE setup requirements</w:t>
      </w:r>
      <w:r>
        <w:rPr>
          <w:sz w:val="20"/>
          <w:szCs w:val="20"/>
        </w:rPr>
        <w:tab/>
      </w:r>
      <w:r>
        <w:rPr>
          <w:b w:val="false"/>
          <w:bCs w:val="false"/>
          <w:color w:val="404040"/>
          <w:sz w:val="20"/>
          <w:szCs w:val="20"/>
        </w:rPr>
        <w:t xml:space="preserve">16</w:t>
      </w:r>
    </w:p>
    <w:p>
      <w:pPr>
        <w:tabs>
          <w:tab w:val="right" w:pos="9840" w:leader="dot"/>
        </w:tabs>
        <w:spacing w:after="34" w:before="0"/>
        <w:ind w:left="300" w:right="0"/>
      </w:pPr>
      <w:r>
        <w:rPr>
          <w:b w:val="false"/>
          <w:bCs w:val="false"/>
          <w:color w:val="404040"/>
          <w:sz w:val="20"/>
          <w:szCs w:val="20"/>
        </w:rPr>
        <w:t xml:space="preserve">9.7 Rebuilding the agent stack</w:t>
      </w:r>
      <w:r>
        <w:rPr>
          <w:sz w:val="20"/>
          <w:szCs w:val="20"/>
        </w:rPr>
        <w:tab/>
      </w:r>
      <w:r>
        <w:rPr>
          <w:b w:val="false"/>
          <w:bCs w:val="false"/>
          <w:color w:val="404040"/>
          <w:sz w:val="20"/>
          <w:szCs w:val="20"/>
        </w:rPr>
        <w:t xml:space="preserve">17</w:t>
      </w:r>
    </w:p>
    <w:p>
      <w:pPr>
        <w:tabs>
          <w:tab w:val="right" w:pos="9840" w:leader="dot"/>
        </w:tabs>
        <w:spacing w:after="34" w:before="0"/>
        <w:ind w:left="300" w:right="0"/>
      </w:pPr>
      <w:r>
        <w:rPr>
          <w:b w:val="false"/>
          <w:bCs w:val="false"/>
          <w:color w:val="404040"/>
          <w:sz w:val="20"/>
          <w:szCs w:val="20"/>
        </w:rPr>
        <w:t xml:space="preserve">9.8 Error handling in the interface</w:t>
      </w:r>
      <w:r>
        <w:rPr>
          <w:sz w:val="20"/>
          <w:szCs w:val="20"/>
        </w:rPr>
        <w:tab/>
      </w:r>
      <w:r>
        <w:rPr>
          <w:b w:val="false"/>
          <w:bCs w:val="false"/>
          <w:color w:val="404040"/>
          <w:sz w:val="20"/>
          <w:szCs w:val="20"/>
        </w:rPr>
        <w:t xml:space="preserve">17</w:t>
      </w:r>
    </w:p>
    <w:p>
      <w:pPr>
        <w:tabs>
          <w:tab w:val="right" w:pos="9840" w:leader="dot"/>
        </w:tabs>
        <w:spacing w:after="34" w:before="90"/>
        <w:ind w:left="0" w:right="0"/>
      </w:pPr>
      <w:r>
        <w:rPr>
          <w:b/>
          <w:bCs/>
          <w:color w:val="1F4E79"/>
          <w:sz w:val="21"/>
          <w:szCs w:val="21"/>
        </w:rPr>
        <w:t xml:space="preserve">10. Sample questions and verified answers</w:t>
      </w:r>
      <w:r>
        <w:rPr>
          <w:sz w:val="20"/>
          <w:szCs w:val="20"/>
        </w:rPr>
        <w:tab/>
      </w:r>
      <w:r>
        <w:rPr>
          <w:b/>
          <w:bCs/>
          <w:color w:val="1F4E79"/>
          <w:sz w:val="20"/>
          <w:szCs w:val="20"/>
        </w:rPr>
        <w:t xml:space="preserve">17</w:t>
      </w:r>
    </w:p>
    <w:p>
      <w:pPr>
        <w:tabs>
          <w:tab w:val="right" w:pos="9840" w:leader="dot"/>
        </w:tabs>
        <w:spacing w:after="34" w:before="0"/>
        <w:ind w:left="300" w:right="0"/>
      </w:pPr>
      <w:r>
        <w:rPr>
          <w:b w:val="false"/>
          <w:bCs w:val="false"/>
          <w:color w:val="404040"/>
          <w:sz w:val="20"/>
          <w:szCs w:val="20"/>
        </w:rPr>
        <w:t xml:space="preserve">10.1 Know your data before you write questions</w:t>
      </w:r>
      <w:r>
        <w:rPr>
          <w:sz w:val="20"/>
          <w:szCs w:val="20"/>
        </w:rPr>
        <w:tab/>
      </w:r>
      <w:r>
        <w:rPr>
          <w:b w:val="false"/>
          <w:bCs w:val="false"/>
          <w:color w:val="404040"/>
          <w:sz w:val="20"/>
          <w:szCs w:val="20"/>
        </w:rPr>
        <w:t xml:space="preserve">17</w:t>
      </w:r>
    </w:p>
    <w:p>
      <w:pPr>
        <w:tabs>
          <w:tab w:val="right" w:pos="9840" w:leader="dot"/>
        </w:tabs>
        <w:spacing w:after="34" w:before="0"/>
        <w:ind w:left="300" w:right="0"/>
      </w:pPr>
      <w:r>
        <w:rPr>
          <w:b w:val="false"/>
          <w:bCs w:val="false"/>
          <w:color w:val="404040"/>
          <w:sz w:val="20"/>
          <w:szCs w:val="20"/>
        </w:rPr>
        <w:t xml:space="preserve">10.2 SQL tool</w:t>
      </w:r>
      <w:r>
        <w:rPr>
          <w:sz w:val="20"/>
          <w:szCs w:val="20"/>
        </w:rPr>
        <w:tab/>
      </w:r>
      <w:r>
        <w:rPr>
          <w:b w:val="false"/>
          <w:bCs w:val="false"/>
          <w:color w:val="404040"/>
          <w:sz w:val="20"/>
          <w:szCs w:val="20"/>
        </w:rPr>
        <w:t xml:space="preserve">18</w:t>
      </w:r>
    </w:p>
    <w:p>
      <w:pPr>
        <w:tabs>
          <w:tab w:val="right" w:pos="9840" w:leader="dot"/>
        </w:tabs>
        <w:spacing w:after="34" w:before="0"/>
        <w:ind w:left="300" w:right="0"/>
      </w:pPr>
      <w:r>
        <w:rPr>
          <w:b w:val="false"/>
          <w:bCs w:val="false"/>
          <w:color w:val="404040"/>
          <w:sz w:val="20"/>
          <w:szCs w:val="20"/>
        </w:rPr>
        <w:t xml:space="preserve">10.3 RAG tool</w:t>
      </w:r>
      <w:r>
        <w:rPr>
          <w:sz w:val="20"/>
          <w:szCs w:val="20"/>
        </w:rPr>
        <w:tab/>
      </w:r>
      <w:r>
        <w:rPr>
          <w:b w:val="false"/>
          <w:bCs w:val="false"/>
          <w:color w:val="404040"/>
          <w:sz w:val="20"/>
          <w:szCs w:val="20"/>
        </w:rPr>
        <w:t xml:space="preserve">18</w:t>
      </w:r>
    </w:p>
    <w:p>
      <w:pPr>
        <w:tabs>
          <w:tab w:val="right" w:pos="9840" w:leader="dot"/>
        </w:tabs>
        <w:spacing w:after="34" w:before="0"/>
        <w:ind w:left="300" w:right="0"/>
      </w:pPr>
      <w:r>
        <w:rPr>
          <w:b w:val="false"/>
          <w:bCs w:val="false"/>
          <w:color w:val="404040"/>
          <w:sz w:val="20"/>
          <w:szCs w:val="20"/>
        </w:rPr>
        <w:t xml:space="preserve">10.4 Trend, forecast and anomaly tools</w:t>
      </w:r>
      <w:r>
        <w:rPr>
          <w:sz w:val="20"/>
          <w:szCs w:val="20"/>
        </w:rPr>
        <w:tab/>
      </w:r>
      <w:r>
        <w:rPr>
          <w:b w:val="false"/>
          <w:bCs w:val="false"/>
          <w:color w:val="404040"/>
          <w:sz w:val="20"/>
          <w:szCs w:val="20"/>
        </w:rPr>
        <w:t xml:space="preserve">18</w:t>
      </w:r>
    </w:p>
    <w:p>
      <w:pPr>
        <w:tabs>
          <w:tab w:val="right" w:pos="9840" w:leader="dot"/>
        </w:tabs>
        <w:spacing w:after="34" w:before="0"/>
        <w:ind w:left="300" w:right="0"/>
      </w:pPr>
      <w:r>
        <w:rPr>
          <w:b w:val="false"/>
          <w:bCs w:val="false"/>
          <w:color w:val="404040"/>
          <w:sz w:val="20"/>
          <w:szCs w:val="20"/>
        </w:rPr>
        <w:t xml:space="preserve">10.5 Python tool</w:t>
      </w:r>
      <w:r>
        <w:rPr>
          <w:sz w:val="20"/>
          <w:szCs w:val="20"/>
        </w:rPr>
        <w:tab/>
      </w:r>
      <w:r>
        <w:rPr>
          <w:b w:val="false"/>
          <w:bCs w:val="false"/>
          <w:color w:val="404040"/>
          <w:sz w:val="20"/>
          <w:szCs w:val="20"/>
        </w:rPr>
        <w:t xml:space="preserve">19</w:t>
      </w:r>
    </w:p>
    <w:p>
      <w:pPr>
        <w:tabs>
          <w:tab w:val="right" w:pos="9840" w:leader="dot"/>
        </w:tabs>
        <w:spacing w:after="34" w:before="0"/>
        <w:ind w:left="300" w:right="0"/>
      </w:pPr>
      <w:r>
        <w:rPr>
          <w:b w:val="false"/>
          <w:bCs w:val="false"/>
          <w:color w:val="404040"/>
          <w:sz w:val="20"/>
          <w:szCs w:val="20"/>
        </w:rPr>
        <w:t xml:space="preserve">10.6 Multi-tool questions</w:t>
      </w:r>
      <w:r>
        <w:rPr>
          <w:sz w:val="20"/>
          <w:szCs w:val="20"/>
        </w:rPr>
        <w:tab/>
      </w:r>
      <w:r>
        <w:rPr>
          <w:b w:val="false"/>
          <w:bCs w:val="false"/>
          <w:color w:val="404040"/>
          <w:sz w:val="20"/>
          <w:szCs w:val="20"/>
        </w:rPr>
        <w:t xml:space="preserve">19</w:t>
      </w:r>
    </w:p>
    <w:p>
      <w:pPr>
        <w:tabs>
          <w:tab w:val="right" w:pos="9840" w:leader="dot"/>
        </w:tabs>
        <w:spacing w:after="34" w:before="90"/>
        <w:ind w:left="0" w:right="0"/>
      </w:pPr>
      <w:r>
        <w:rPr>
          <w:b/>
          <w:bCs/>
          <w:color w:val="1F4E79"/>
          <w:sz w:val="21"/>
          <w:szCs w:val="21"/>
        </w:rPr>
        <w:t xml:space="preserve">Appendix A — Implementation status</w:t>
      </w:r>
      <w:r>
        <w:rPr>
          <w:sz w:val="20"/>
          <w:szCs w:val="20"/>
        </w:rPr>
        <w:tab/>
      </w:r>
      <w:r>
        <w:rPr>
          <w:b/>
          <w:bCs/>
          <w:color w:val="1F4E79"/>
          <w:sz w:val="20"/>
          <w:szCs w:val="20"/>
        </w:rPr>
        <w:t xml:space="preserve">20</w:t>
      </w:r>
    </w:p>
    <w:p>
      <w:pPr>
        <w:tabs>
          <w:tab w:val="right" w:pos="9840" w:leader="dot"/>
        </w:tabs>
        <w:spacing w:after="34" w:before="90"/>
        <w:ind w:left="0" w:right="0"/>
      </w:pPr>
      <w:r>
        <w:rPr>
          <w:b/>
          <w:bCs/>
          <w:color w:val="1F4E79"/>
          <w:sz w:val="21"/>
          <w:szCs w:val="21"/>
        </w:rPr>
        <w:t xml:space="preserve">Appendix B — What changed since the April draft</w:t>
      </w:r>
      <w:r>
        <w:rPr>
          <w:sz w:val="20"/>
          <w:szCs w:val="20"/>
        </w:rPr>
        <w:tab/>
      </w:r>
      <w:r>
        <w:rPr>
          <w:b/>
          <w:bCs/>
          <w:color w:val="1F4E79"/>
          <w:sz w:val="20"/>
          <w:szCs w:val="20"/>
        </w:rPr>
        <w:t xml:space="preserve">20</w:t>
      </w:r>
    </w:p>
    <w:p>
      <w:r>
        <w:br w:type="page"/>
      </w:r>
    </w:p>
    <w:p>
      <w:pPr>
        <w:pStyle w:val="Heading1"/>
        <w:spacing w:after="150" w:before="400"/>
      </w:pPr>
      <w:r>
        <w:t xml:space="preserve">1. Overview</w:t>
      </w:r>
    </w:p>
    <w:p>
      <w:pPr>
        <w:spacing w:after="140"/>
        <w:jc w:val="both"/>
      </w:pPr>
      <w:r>
        <w:rPr>
          <w:sz w:val="21"/>
          <w:szCs w:val="21"/>
        </w:rPr>
        <w:t xml:space="preserve">This guide covers the end-to-end implementation of two AI-powered chat interfaces for ACME Corp, both built on Oracle APEX over an Oracle Autonomous Data Warehouse. They answer the same finance questions by different routes, and the contrast between them is the point: one runs the agent as a separate OCI service, the other runs the agent loop and its tools inside the database. In both, the language model itself is a network call, and in both it sees some of your data.</w:t>
      </w:r>
    </w:p>
    <w:p>
      <w:pPr>
        <w:pStyle w:val="Heading2"/>
        <w:spacing w:after="110" w:before="300"/>
      </w:pPr>
      <w:r>
        <w:t xml:space="preserve">1.1 Two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shd w:fill="DCE6F1" w:val="clear"/>
            <w:tcMar>
              <w:top w:type="dxa" w:w="70"/>
              <w:left w:type="dxa" w:w="110"/>
              <w:bottom w:type="dxa" w:w="70"/>
              <w:right w:type="dxa" w:w="110"/>
            </w:tcMar>
          </w:tcPr>
          <w:p>
            <w:pPr>
              <w:spacing w:after="0"/>
            </w:pPr>
            <w:r>
              <w:rPr>
                <w:b/>
                <w:bCs/>
                <w:sz w:val="19"/>
                <w:szCs w:val="19"/>
              </w:rPr>
              <w:t xml:space="preserve">Dimension</w:t>
            </w:r>
          </w:p>
        </w:tc>
        <w:tc>
          <w:tcPr>
            <w:tcW w:type="dxa" w:w="3580"/>
            <w:shd w:fill="DCE6F1" w:val="clear"/>
            <w:tcMar>
              <w:top w:type="dxa" w:w="70"/>
              <w:left w:type="dxa" w:w="110"/>
              <w:bottom w:type="dxa" w:w="70"/>
              <w:right w:type="dxa" w:w="110"/>
            </w:tcMar>
          </w:tcPr>
          <w:p>
            <w:pPr>
              <w:spacing w:after="0"/>
            </w:pPr>
            <w:r>
              <w:rPr>
                <w:b/>
                <w:bCs/>
                <w:sz w:val="19"/>
                <w:szCs w:val="19"/>
              </w:rPr>
              <w:t xml:space="preserve">OCI GenAI Agent</w:t>
            </w:r>
          </w:p>
        </w:tc>
        <w:tc>
          <w:tcPr>
            <w:tcW w:type="dxa" w:w="3580"/>
            <w:shd w:fill="DCE6F1" w:val="clear"/>
            <w:tcMar>
              <w:top w:type="dxa" w:w="70"/>
              <w:left w:type="dxa" w:w="110"/>
              <w:bottom w:type="dxa" w:w="70"/>
              <w:right w:type="dxa" w:w="110"/>
            </w:tcMar>
          </w:tcPr>
          <w:p>
            <w:pPr>
              <w:spacing w:after="0"/>
            </w:pPr>
            <w:r>
              <w:rPr>
                <w:b/>
                <w:bCs/>
                <w:sz w:val="19"/>
                <w:szCs w:val="19"/>
              </w:rPr>
              <w:t xml:space="preserve">Select AI Agent</w:t>
            </w:r>
          </w:p>
        </w:tc>
      </w:tr>
      <w:tr>
        <w:tc>
          <w:tcPr>
            <w:tcW w:type="dxa" w:w="2200"/>
            <w:tcMar>
              <w:top w:type="dxa" w:w="70"/>
              <w:left w:type="dxa" w:w="110"/>
              <w:bottom w:type="dxa" w:w="70"/>
              <w:right w:type="dxa" w:w="110"/>
            </w:tcMar>
          </w:tcPr>
          <w:p>
            <w:pPr>
              <w:spacing w:after="0"/>
            </w:pPr>
            <w:r>
              <w:rPr>
                <w:b w:val="false"/>
                <w:bCs w:val="false"/>
                <w:sz w:val="19"/>
                <w:szCs w:val="19"/>
              </w:rPr>
              <w:t xml:space="preserve">Where the agent runs</w:t>
            </w:r>
          </w:p>
        </w:tc>
        <w:tc>
          <w:tcPr>
            <w:tcW w:type="dxa" w:w="3580"/>
            <w:tcMar>
              <w:top w:type="dxa" w:w="70"/>
              <w:left w:type="dxa" w:w="110"/>
              <w:bottom w:type="dxa" w:w="70"/>
              <w:right w:type="dxa" w:w="110"/>
            </w:tcMar>
          </w:tcPr>
          <w:p>
            <w:pPr>
              <w:spacing w:after="0"/>
            </w:pPr>
            <w:r>
              <w:rPr>
                <w:b w:val="false"/>
                <w:bCs w:val="false"/>
                <w:sz w:val="19"/>
                <w:szCs w:val="19"/>
              </w:rPr>
              <w:t xml:space="preserve">OCI service, outside the database</w:t>
            </w:r>
          </w:p>
        </w:tc>
        <w:tc>
          <w:tcPr>
            <w:tcW w:type="dxa" w:w="3580"/>
            <w:tcMar>
              <w:top w:type="dxa" w:w="70"/>
              <w:left w:type="dxa" w:w="110"/>
              <w:bottom w:type="dxa" w:w="70"/>
              <w:right w:type="dxa" w:w="110"/>
            </w:tcMar>
          </w:tcPr>
          <w:p>
            <w:pPr>
              <w:spacing w:after="0"/>
            </w:pPr>
            <w:r>
              <w:rPr>
                <w:b w:val="false"/>
                <w:bCs w:val="false"/>
                <w:sz w:val="19"/>
                <w:szCs w:val="19"/>
              </w:rPr>
              <w:t xml:space="preserve">Agent loop and tools inside the Autonomous Database; the model is called over the network</w:t>
            </w:r>
          </w:p>
        </w:tc>
      </w:tr>
      <w:tr>
        <w:tc>
          <w:tcPr>
            <w:tcW w:type="dxa" w:w="2200"/>
            <w:tcMar>
              <w:top w:type="dxa" w:w="70"/>
              <w:left w:type="dxa" w:w="110"/>
              <w:bottom w:type="dxa" w:w="70"/>
              <w:right w:type="dxa" w:w="110"/>
            </w:tcMar>
          </w:tcPr>
          <w:p>
            <w:pPr>
              <w:spacing w:after="0"/>
            </w:pPr>
            <w:r>
              <w:rPr>
                <w:b w:val="false"/>
                <w:bCs w:val="false"/>
                <w:sz w:val="19"/>
                <w:szCs w:val="19"/>
              </w:rPr>
              <w:t xml:space="preserve">Data movement</w:t>
            </w:r>
          </w:p>
        </w:tc>
        <w:tc>
          <w:tcPr>
            <w:tcW w:type="dxa" w:w="3580"/>
            <w:tcMar>
              <w:top w:type="dxa" w:w="70"/>
              <w:left w:type="dxa" w:w="110"/>
              <w:bottom w:type="dxa" w:w="70"/>
              <w:right w:type="dxa" w:w="110"/>
            </w:tcMar>
          </w:tcPr>
          <w:p>
            <w:pPr>
              <w:spacing w:after="0"/>
            </w:pPr>
            <w:r>
              <w:rPr>
                <w:b w:val="false"/>
                <w:bCs w:val="false"/>
                <w:sz w:val="19"/>
                <w:szCs w:val="19"/>
              </w:rPr>
              <w:t xml:space="preserve">Documents copied to Object Storage and indexed by the service</w:t>
            </w:r>
          </w:p>
        </w:tc>
        <w:tc>
          <w:tcPr>
            <w:tcW w:type="dxa" w:w="3580"/>
            <w:tcMar>
              <w:top w:type="dxa" w:w="70"/>
              <w:left w:type="dxa" w:w="110"/>
              <w:bottom w:type="dxa" w:w="70"/>
              <w:right w:type="dxa" w:w="110"/>
            </w:tcMar>
          </w:tcPr>
          <w:p>
            <w:pPr>
              <w:spacing w:after="0"/>
            </w:pPr>
            <w:r>
              <w:rPr>
                <w:b w:val="false"/>
                <w:bCs w:val="false"/>
                <w:sz w:val="19"/>
                <w:szCs w:val="19"/>
              </w:rPr>
              <w:t xml:space="preserve">Tables queried in place; documents indexed into a vector table in-schema</w:t>
            </w:r>
          </w:p>
        </w:tc>
      </w:tr>
      <w:tr>
        <w:tc>
          <w:tcPr>
            <w:tcW w:type="dxa" w:w="2200"/>
            <w:tcMar>
              <w:top w:type="dxa" w:w="70"/>
              <w:left w:type="dxa" w:w="110"/>
              <w:bottom w:type="dxa" w:w="70"/>
              <w:right w:type="dxa" w:w="110"/>
            </w:tcMar>
          </w:tcPr>
          <w:p>
            <w:pPr>
              <w:spacing w:after="0"/>
            </w:pPr>
            <w:r>
              <w:rPr>
                <w:b w:val="false"/>
                <w:bCs w:val="false"/>
                <w:sz w:val="19"/>
                <w:szCs w:val="19"/>
              </w:rPr>
              <w:t xml:space="preserve">Structured data</w:t>
            </w:r>
          </w:p>
        </w:tc>
        <w:tc>
          <w:tcPr>
            <w:tcW w:type="dxa" w:w="3580"/>
            <w:tcMar>
              <w:top w:type="dxa" w:w="70"/>
              <w:left w:type="dxa" w:w="110"/>
              <w:bottom w:type="dxa" w:w="70"/>
              <w:right w:type="dxa" w:w="110"/>
            </w:tcMar>
          </w:tcPr>
          <w:p>
            <w:pPr>
              <w:spacing w:after="0"/>
            </w:pPr>
            <w:r>
              <w:rPr>
                <w:b w:val="false"/>
                <w:bCs w:val="false"/>
                <w:sz w:val="19"/>
                <w:szCs w:val="19"/>
              </w:rPr>
              <w:t xml:space="preserve">Not natively — the agent reads documents</w:t>
            </w:r>
          </w:p>
        </w:tc>
        <w:tc>
          <w:tcPr>
            <w:tcW w:type="dxa" w:w="3580"/>
            <w:tcMar>
              <w:top w:type="dxa" w:w="70"/>
              <w:left w:type="dxa" w:w="110"/>
              <w:bottom w:type="dxa" w:w="70"/>
              <w:right w:type="dxa" w:w="110"/>
            </w:tcMar>
          </w:tcPr>
          <w:p>
            <w:pPr>
              <w:spacing w:after="0"/>
            </w:pPr>
            <w:r>
              <w:rPr>
                <w:b w:val="false"/>
                <w:bCs w:val="false"/>
                <w:sz w:val="19"/>
                <w:szCs w:val="19"/>
              </w:rPr>
              <w:t xml:space="preserve">NL2SQL against live tables</w:t>
            </w:r>
          </w:p>
        </w:tc>
      </w:tr>
      <w:tr>
        <w:tc>
          <w:tcPr>
            <w:tcW w:type="dxa" w:w="2200"/>
            <w:tcMar>
              <w:top w:type="dxa" w:w="70"/>
              <w:left w:type="dxa" w:w="110"/>
              <w:bottom w:type="dxa" w:w="70"/>
              <w:right w:type="dxa" w:w="110"/>
            </w:tcMar>
          </w:tcPr>
          <w:p>
            <w:pPr>
              <w:spacing w:after="0"/>
            </w:pPr>
            <w:r>
              <w:rPr>
                <w:b w:val="false"/>
                <w:bCs w:val="false"/>
                <w:sz w:val="19"/>
                <w:szCs w:val="19"/>
              </w:rPr>
              <w:t xml:space="preserve">Custom logic</w:t>
            </w:r>
          </w:p>
        </w:tc>
        <w:tc>
          <w:tcPr>
            <w:tcW w:type="dxa" w:w="3580"/>
            <w:tcMar>
              <w:top w:type="dxa" w:w="70"/>
              <w:left w:type="dxa" w:w="110"/>
              <w:bottom w:type="dxa" w:w="70"/>
              <w:right w:type="dxa" w:w="110"/>
            </w:tcMar>
          </w:tcPr>
          <w:p>
            <w:pPr>
              <w:spacing w:after="0"/>
            </w:pPr>
            <w:r>
              <w:rPr>
                <w:b w:val="false"/>
                <w:bCs w:val="false"/>
                <w:sz w:val="19"/>
                <w:szCs w:val="19"/>
              </w:rPr>
              <w:t xml:space="preserve">External function calls</w:t>
            </w:r>
          </w:p>
        </w:tc>
        <w:tc>
          <w:tcPr>
            <w:tcW w:type="dxa" w:w="3580"/>
            <w:tcMar>
              <w:top w:type="dxa" w:w="70"/>
              <w:left w:type="dxa" w:w="110"/>
              <w:bottom w:type="dxa" w:w="70"/>
              <w:right w:type="dxa" w:w="110"/>
            </w:tcMar>
          </w:tcPr>
          <w:p>
            <w:pPr>
              <w:spacing w:after="0"/>
            </w:pPr>
            <w:r>
              <w:rPr>
                <w:b w:val="false"/>
                <w:bCs w:val="false"/>
                <w:sz w:val="19"/>
                <w:szCs w:val="19"/>
              </w:rPr>
              <w:t xml:space="preserve">PL/SQL and Python tools registered with the agent</w:t>
            </w:r>
          </w:p>
        </w:tc>
      </w:tr>
      <w:tr>
        <w:tc>
          <w:tcPr>
            <w:tcW w:type="dxa" w:w="2200"/>
            <w:tcMar>
              <w:top w:type="dxa" w:w="70"/>
              <w:left w:type="dxa" w:w="110"/>
              <w:bottom w:type="dxa" w:w="70"/>
              <w:right w:type="dxa" w:w="110"/>
            </w:tcMar>
          </w:tcPr>
          <w:p>
            <w:pPr>
              <w:spacing w:after="0"/>
            </w:pPr>
            <w:r>
              <w:rPr>
                <w:b w:val="false"/>
                <w:bCs w:val="false"/>
                <w:sz w:val="19"/>
                <w:szCs w:val="19"/>
              </w:rPr>
              <w:t xml:space="preserve">Credential model</w:t>
            </w:r>
          </w:p>
        </w:tc>
        <w:tc>
          <w:tcPr>
            <w:tcW w:type="dxa" w:w="3580"/>
            <w:tcMar>
              <w:top w:type="dxa" w:w="70"/>
              <w:left w:type="dxa" w:w="110"/>
              <w:bottom w:type="dxa" w:w="70"/>
              <w:right w:type="dxa" w:w="110"/>
            </w:tcMar>
          </w:tcPr>
          <w:p>
            <w:pPr>
              <w:spacing w:after="0"/>
            </w:pPr>
            <w:r>
              <w:rPr>
                <w:b w:val="false"/>
                <w:bCs w:val="false"/>
                <w:sz w:val="19"/>
                <w:szCs w:val="19"/>
              </w:rPr>
              <w:t xml:space="preserve">Resource Principal from ADW to the OCI endpoint</w:t>
            </w:r>
          </w:p>
        </w:tc>
        <w:tc>
          <w:tcPr>
            <w:tcW w:type="dxa" w:w="3580"/>
            <w:tcMar>
              <w:top w:type="dxa" w:w="70"/>
              <w:left w:type="dxa" w:w="110"/>
              <w:bottom w:type="dxa" w:w="70"/>
              <w:right w:type="dxa" w:w="110"/>
            </w:tcMar>
          </w:tcPr>
          <w:p>
            <w:pPr>
              <w:spacing w:after="0"/>
            </w:pPr>
            <w:r>
              <w:rPr>
                <w:b w:val="false"/>
                <w:bCs w:val="false"/>
                <w:sz w:val="19"/>
                <w:szCs w:val="19"/>
              </w:rPr>
              <w:t xml:space="preserve">Resource Principal, plus Vault for anything needing a password</w:t>
            </w:r>
          </w:p>
        </w:tc>
      </w:tr>
      <w:tr>
        <w:tc>
          <w:tcPr>
            <w:tcW w:type="dxa" w:w="2200"/>
            <w:tcMar>
              <w:top w:type="dxa" w:w="70"/>
              <w:left w:type="dxa" w:w="110"/>
              <w:bottom w:type="dxa" w:w="70"/>
              <w:right w:type="dxa" w:w="110"/>
            </w:tcMar>
          </w:tcPr>
          <w:p>
            <w:pPr>
              <w:spacing w:after="0"/>
            </w:pPr>
            <w:r>
              <w:rPr>
                <w:b w:val="false"/>
                <w:bCs w:val="false"/>
                <w:sz w:val="19"/>
                <w:szCs w:val="19"/>
              </w:rPr>
              <w:t xml:space="preserve">Best for</w:t>
            </w:r>
          </w:p>
        </w:tc>
        <w:tc>
          <w:tcPr>
            <w:tcW w:type="dxa" w:w="3580"/>
            <w:tcMar>
              <w:top w:type="dxa" w:w="70"/>
              <w:left w:type="dxa" w:w="110"/>
              <w:bottom w:type="dxa" w:w="70"/>
              <w:right w:type="dxa" w:w="110"/>
            </w:tcMar>
          </w:tcPr>
          <w:p>
            <w:pPr>
              <w:spacing w:after="0"/>
            </w:pPr>
            <w:r>
              <w:rPr>
                <w:b w:val="false"/>
                <w:bCs w:val="false"/>
                <w:sz w:val="19"/>
                <w:szCs w:val="19"/>
              </w:rPr>
              <w:t xml:space="preserve">Document-heavy Q&amp;A with no live joins</w:t>
            </w:r>
          </w:p>
        </w:tc>
        <w:tc>
          <w:tcPr>
            <w:tcW w:type="dxa" w:w="3580"/>
            <w:tcMar>
              <w:top w:type="dxa" w:w="70"/>
              <w:left w:type="dxa" w:w="110"/>
              <w:bottom w:type="dxa" w:w="70"/>
              <w:right w:type="dxa" w:w="110"/>
            </w:tcMar>
          </w:tcPr>
          <w:p>
            <w:pPr>
              <w:spacing w:after="0"/>
            </w:pPr>
            <w:r>
              <w:rPr>
                <w:b w:val="false"/>
                <w:bCs w:val="false"/>
                <w:sz w:val="19"/>
                <w:szCs w:val="19"/>
              </w:rPr>
              <w:t xml:space="preserve">Questions that must reflect current ledger data</w:t>
            </w:r>
          </w:p>
        </w:tc>
      </w:tr>
    </w:tbl>
    <w:p>
      <w:pPr>
        <w:spacing w:after="140"/>
        <w:jc w:val="both"/>
      </w:pPr>
      <w:r>
        <w:rPr>
          <w:sz w:val="21"/>
          <w:szCs w:val="21"/>
        </w:rPr>
        <w:t xml:space="preserve">Both are implemented in the same APEX application. The GenAI Agent build is pages 2 and 3; the Select AI Agent build is page 4.</w:t>
      </w:r>
    </w:p>
    <w:p>
      <w:pPr>
        <w:pStyle w:val="Heading2"/>
        <w:spacing w:after="110" w:before="300"/>
      </w:pPr>
      <w:r>
        <w:t xml:space="preserve">1.2 OCI GenAI Agent architecture</w:t>
      </w:r>
    </w:p>
    <w:p>
      <w:pPr>
        <w:pBdr>
          <w:left w:val="single" w:color="1F4E79" w:sz="14" w:space="8"/>
        </w:pBdr>
        <w:shd w:fill="F4F6F8" w:val="clear"/>
        <w:spacing w:after="0" w:before="100" w:line="250"/>
        <w:ind w:left="220" w:right="120"/>
      </w:pPr>
      <w:r>
        <w:rPr>
          <w:rFonts w:ascii="Consolas" w:cs="Consolas" w:eastAsia="Consolas" w:hAnsi="Consolas"/>
          <w:sz w:val="17"/>
          <w:szCs w:val="17"/>
        </w:rPr>
        <w:t xml:space="preserve">Browser (Oracle APEX)</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  Click Send -&gt; Dynamic Action -&gt; apex.server.process()</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v</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APEX AJAX Callback Process (PL/SQL)</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  acme_agent_pkg.chat(p_session_id, p_message)</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v</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DBMS_CLOUD.SEND_REQUEST   credential OCI$RESOURCE_PRINCIPAL</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  POST /chat  to the agent endpoint</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v</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OCI Generative AI Agent  -&gt;  Knowledge Base  -&gt;  Object Storage documents</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  answer + citations (JSON)</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v</w:t>
      </w:r>
    </w:p>
    <w:p>
      <w:pPr>
        <w:pBdr>
          <w:left w:val="single" w:color="1F4E79" w:sz="14" w:space="8"/>
        </w:pBdr>
        <w:shd w:fill="F4F6F8" w:val="clear"/>
        <w:spacing w:after="160" w:before="0" w:line="250"/>
        <w:ind w:left="220" w:right="120"/>
      </w:pPr>
      <w:r>
        <w:rPr>
          <w:rFonts w:ascii="Consolas" w:cs="Consolas" w:eastAsia="Consolas" w:hAnsi="Consolas"/>
          <w:sz w:val="17"/>
          <w:szCs w:val="17"/>
        </w:rPr>
        <w:t xml:space="preserve">ACME_CHAT_MESSAGES  (history persisted)  -&gt;  rendered in the chat bubble</w:t>
      </w:r>
    </w:p>
    <w:p>
      <w:pPr>
        <w:pStyle w:val="Heading2"/>
        <w:spacing w:after="110" w:before="300"/>
      </w:pPr>
      <w:r>
        <w:t xml:space="preserve">1.3 Select AI Agent architecture</w:t>
      </w:r>
    </w:p>
    <w:p>
      <w:pPr>
        <w:pBdr>
          <w:left w:val="single" w:color="1F4E79" w:sz="14" w:space="8"/>
        </w:pBdr>
        <w:shd w:fill="F4F6F8" w:val="clear"/>
        <w:spacing w:after="0" w:before="100" w:line="250"/>
        <w:ind w:left="220" w:right="120"/>
      </w:pPr>
      <w:r>
        <w:rPr>
          <w:rFonts w:ascii="Consolas" w:cs="Consolas" w:eastAsia="Consolas" w:hAnsi="Consolas"/>
          <w:sz w:val="17"/>
          <w:szCs w:val="17"/>
        </w:rPr>
        <w:t xml:space="preserve">Browser (Oracle APEX)</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v</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APEX AJAX Callback Process (PL/SQL)</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  DBMS_CLOUD_AI_AGENT.RUN_TEAM(team_name, user_prompt, params)</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v</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Agent team (sequential)  -&gt;  ACME_ANALYST  -&gt;  task instruction routes the call</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+--&gt; ACME_SQL_TOOL       NL2SQL profile over approved tables</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+--&gt; ACME_RAG_TOOL       vector index over policy documents</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+--&gt; ACME_TREND_TOOL     PL/SQL</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+--&gt; ACME_FORECAST_TOOL  PL/SQL</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+--&gt; ACME_ANOMALY_TOOL   PL/SQL</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+--&gt; ACME_PYTHON_TOOL    OML4Py Embedded Python Execution</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v</w:t>
      </w:r>
    </w:p>
    <w:p>
      <w:pPr>
        <w:pBdr>
          <w:left w:val="single" w:color="1F4E79" w:sz="14" w:space="8"/>
        </w:pBdr>
        <w:shd w:fill="F4F6F8" w:val="clear"/>
        <w:spacing w:after="160" w:before="0" w:line="250"/>
        <w:ind w:left="220" w:right="120"/>
      </w:pPr>
      <w:r>
        <w:rPr>
          <w:rFonts w:ascii="Consolas" w:cs="Consolas" w:eastAsia="Consolas" w:hAnsi="Consolas"/>
          <w:sz w:val="17"/>
          <w:szCs w:val="17"/>
        </w:rPr>
        <w:t xml:space="preserve">Narrated answer  -&gt;  ACME_CHAT_MESSAGES  -&gt;  chat bubble</w:t>
      </w:r>
    </w:p>
    <w:p>
      <w:pPr>
        <w:spacing w:after="140"/>
        <w:jc w:val="both"/>
      </w:pPr>
      <w:r>
        <w:rPr>
          <w:sz w:val="21"/>
          <w:szCs w:val="21"/>
        </w:rPr>
        <w:t xml:space="preserve">Every tool call executes inside the database, and every query runs against the live tables. That is not the same as keeping data from the model. Generating SQL sends only schema metadata — table and column names, and comments. But the narrate action sends the query results to the model so it can write the answer, retrieval sends the matching document chunks, and the agent passes each tool’s output back to the model to decide what to do next. Which provider hosts the model decides where that data goes.</w:t>
      </w:r>
    </w:p>
    <w:p>
      <w:pPr>
        <w:pStyle w:val="Heading2"/>
        <w:spacing w:after="110" w:before="300"/>
      </w:pPr>
      <w:r>
        <w:t xml:space="preserve">1.4 Component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460"/>
        <w:gridCol w:w="2400"/>
      </w:tblGrid>
      <w:tr>
        <w:trPr>
          <w:tblHeader/>
        </w:trPr>
        <w:tc>
          <w:tcPr>
            <w:tcW w:type="dxa" w:w="2500"/>
            <w:shd w:fill="DCE6F1" w:val="clear"/>
            <w:tcMar>
              <w:top w:type="dxa" w:w="70"/>
              <w:left w:type="dxa" w:w="110"/>
              <w:bottom w:type="dxa" w:w="70"/>
              <w:right w:type="dxa" w:w="110"/>
            </w:tcMar>
          </w:tcPr>
          <w:p>
            <w:pPr>
              <w:spacing w:after="0"/>
            </w:pPr>
            <w:r>
              <w:rPr>
                <w:b/>
                <w:bCs/>
                <w:sz w:val="19"/>
                <w:szCs w:val="19"/>
              </w:rPr>
              <w:t xml:space="preserve">Component</w:t>
            </w:r>
          </w:p>
        </w:tc>
        <w:tc>
          <w:tcPr>
            <w:tcW w:type="dxa" w:w="4460"/>
            <w:shd w:fill="DCE6F1" w:val="clear"/>
            <w:tcMar>
              <w:top w:type="dxa" w:w="70"/>
              <w:left w:type="dxa" w:w="110"/>
              <w:bottom w:type="dxa" w:w="70"/>
              <w:right w:type="dxa" w:w="110"/>
            </w:tcMar>
          </w:tcPr>
          <w:p>
            <w:pPr>
              <w:spacing w:after="0"/>
            </w:pPr>
            <w:r>
              <w:rPr>
                <w:b/>
                <w:bCs/>
                <w:sz w:val="19"/>
                <w:szCs w:val="19"/>
              </w:rPr>
              <w:t xml:space="preserve">Purpose</w:t>
            </w:r>
          </w:p>
        </w:tc>
        <w:tc>
          <w:tcPr>
            <w:tcW w:type="dxa" w:w="2400"/>
            <w:shd w:fill="DCE6F1" w:val="clear"/>
            <w:tcMar>
              <w:top w:type="dxa" w:w="70"/>
              <w:left w:type="dxa" w:w="110"/>
              <w:bottom w:type="dxa" w:w="70"/>
              <w:right w:type="dxa" w:w="110"/>
            </w:tcMar>
          </w:tcPr>
          <w:p>
            <w:pPr>
              <w:spacing w:after="0"/>
            </w:pPr>
            <w:r>
              <w:rPr>
                <w:b/>
                <w:bCs/>
                <w:sz w:val="19"/>
                <w:szCs w:val="19"/>
              </w:rPr>
              <w:t xml:space="preserve">Where it lives</w:t>
            </w:r>
          </w:p>
        </w:tc>
      </w:tr>
      <w:tr>
        <w:tc>
          <w:tcPr>
            <w:tcW w:type="dxa" w:w="2500"/>
            <w:tcMar>
              <w:top w:type="dxa" w:w="70"/>
              <w:left w:type="dxa" w:w="110"/>
              <w:bottom w:type="dxa" w:w="70"/>
              <w:right w:type="dxa" w:w="110"/>
            </w:tcMar>
          </w:tcPr>
          <w:p>
            <w:pPr>
              <w:spacing w:after="0"/>
            </w:pPr>
            <w:r>
              <w:rPr>
                <w:rFonts w:ascii="Consolas" w:cs="Consolas" w:eastAsia="Consolas" w:hAnsi="Consolas"/>
                <w:b w:val="false"/>
                <w:bCs w:val="false"/>
                <w:sz w:val="19"/>
                <w:szCs w:val="19"/>
              </w:rPr>
              <w:t xml:space="preserve">ACME_CORP</w:t>
            </w:r>
          </w:p>
        </w:tc>
        <w:tc>
          <w:tcPr>
            <w:tcW w:type="dxa" w:w="4460"/>
            <w:tcMar>
              <w:top w:type="dxa" w:w="70"/>
              <w:left w:type="dxa" w:w="110"/>
              <w:bottom w:type="dxa" w:w="70"/>
              <w:right w:type="dxa" w:w="110"/>
            </w:tcMar>
          </w:tcPr>
          <w:p>
            <w:pPr>
              <w:spacing w:after="0"/>
            </w:pPr>
            <w:r>
              <w:rPr>
                <w:b w:val="false"/>
                <w:bCs w:val="false"/>
                <w:sz w:val="19"/>
                <w:szCs w:val="19"/>
              </w:rPr>
              <w:t xml:space="preserve">Schema owning tables, profiles, tools and agent objects</w:t>
            </w:r>
          </w:p>
        </w:tc>
        <w:tc>
          <w:tcPr>
            <w:tcW w:type="dxa" w:w="2400"/>
            <w:tcMar>
              <w:top w:type="dxa" w:w="70"/>
              <w:left w:type="dxa" w:w="110"/>
              <w:bottom w:type="dxa" w:w="70"/>
              <w:right w:type="dxa" w:w="110"/>
            </w:tcMar>
          </w:tcPr>
          <w:p>
            <w:pPr>
              <w:spacing w:after="0"/>
            </w:pPr>
            <w:r>
              <w:rPr>
                <w:b w:val="false"/>
                <w:bCs w:val="false"/>
                <w:sz w:val="19"/>
                <w:szCs w:val="19"/>
              </w:rPr>
              <w:t xml:space="preserve">ADW</w:t>
            </w:r>
          </w:p>
        </w:tc>
      </w:tr>
      <w:tr>
        <w:tc>
          <w:tcPr>
            <w:tcW w:type="dxa" w:w="2500"/>
            <w:tcMar>
              <w:top w:type="dxa" w:w="70"/>
              <w:left w:type="dxa" w:w="110"/>
              <w:bottom w:type="dxa" w:w="70"/>
              <w:right w:type="dxa" w:w="110"/>
            </w:tcMar>
          </w:tcPr>
          <w:p>
            <w:pPr>
              <w:spacing w:after="0"/>
            </w:pPr>
            <w:r>
              <w:rPr>
                <w:b w:val="false"/>
                <w:bCs w:val="false"/>
                <w:sz w:val="19"/>
                <w:szCs w:val="19"/>
              </w:rPr>
              <w:t xml:space="preserve">acme_agent_pkg</w:t>
            </w:r>
          </w:p>
        </w:tc>
        <w:tc>
          <w:tcPr>
            <w:tcW w:type="dxa" w:w="4460"/>
            <w:tcMar>
              <w:top w:type="dxa" w:w="70"/>
              <w:left w:type="dxa" w:w="110"/>
              <w:bottom w:type="dxa" w:w="70"/>
              <w:right w:type="dxa" w:w="110"/>
            </w:tcMar>
          </w:tcPr>
          <w:p>
            <w:pPr>
              <w:spacing w:after="0"/>
            </w:pPr>
            <w:r>
              <w:rPr>
                <w:b w:val="false"/>
                <w:bCs w:val="false"/>
                <w:sz w:val="19"/>
                <w:szCs w:val="19"/>
              </w:rPr>
              <w:t xml:space="preserve">PL/SQL package wrapping the GenAI Agent REST calls</w:t>
            </w:r>
          </w:p>
        </w:tc>
        <w:tc>
          <w:tcPr>
            <w:tcW w:type="dxa" w:w="2400"/>
            <w:tcMar>
              <w:top w:type="dxa" w:w="70"/>
              <w:left w:type="dxa" w:w="110"/>
              <w:bottom w:type="dxa" w:w="70"/>
              <w:right w:type="dxa" w:w="110"/>
            </w:tcMar>
          </w:tcPr>
          <w:p>
            <w:pPr>
              <w:spacing w:after="0"/>
            </w:pPr>
            <w:r>
              <w:rPr>
                <w:b w:val="false"/>
                <w:bCs w:val="false"/>
                <w:sz w:val="19"/>
                <w:szCs w:val="19"/>
              </w:rPr>
              <w:t xml:space="preserve">ADW</w:t>
            </w:r>
          </w:p>
        </w:tc>
      </w:tr>
      <w:tr>
        <w:tc>
          <w:tcPr>
            <w:tcW w:type="dxa" w:w="2500"/>
            <w:tcMar>
              <w:top w:type="dxa" w:w="70"/>
              <w:left w:type="dxa" w:w="110"/>
              <w:bottom w:type="dxa" w:w="70"/>
              <w:right w:type="dxa" w:w="110"/>
            </w:tcMar>
          </w:tcPr>
          <w:p>
            <w:pPr>
              <w:spacing w:after="0"/>
            </w:pPr>
            <w:r>
              <w:rPr>
                <w:rFonts w:ascii="Consolas" w:cs="Consolas" w:eastAsia="Consolas" w:hAnsi="Consolas"/>
                <w:b w:val="false"/>
                <w:bCs w:val="false"/>
                <w:sz w:val="19"/>
                <w:szCs w:val="19"/>
              </w:rPr>
              <w:t xml:space="preserve">ACME_NL2SQL_PROFILE</w:t>
            </w:r>
          </w:p>
        </w:tc>
        <w:tc>
          <w:tcPr>
            <w:tcW w:type="dxa" w:w="4460"/>
            <w:tcMar>
              <w:top w:type="dxa" w:w="70"/>
              <w:left w:type="dxa" w:w="110"/>
              <w:bottom w:type="dxa" w:w="70"/>
              <w:right w:type="dxa" w:w="110"/>
            </w:tcMar>
          </w:tcPr>
          <w:p>
            <w:pPr>
              <w:spacing w:after="0"/>
            </w:pPr>
            <w:r>
              <w:rPr>
                <w:b w:val="false"/>
                <w:bCs w:val="false"/>
                <w:sz w:val="19"/>
                <w:szCs w:val="19"/>
              </w:rPr>
              <w:t xml:space="preserve">Select AI profile for natural-language-to-SQL</w:t>
            </w:r>
          </w:p>
        </w:tc>
        <w:tc>
          <w:tcPr>
            <w:tcW w:type="dxa" w:w="2400"/>
            <w:tcMar>
              <w:top w:type="dxa" w:w="70"/>
              <w:left w:type="dxa" w:w="110"/>
              <w:bottom w:type="dxa" w:w="70"/>
              <w:right w:type="dxa" w:w="110"/>
            </w:tcMar>
          </w:tcPr>
          <w:p>
            <w:pPr>
              <w:spacing w:after="0"/>
            </w:pPr>
            <w:r>
              <w:rPr>
                <w:b w:val="false"/>
                <w:bCs w:val="false"/>
                <w:sz w:val="19"/>
                <w:szCs w:val="19"/>
              </w:rPr>
              <w:t xml:space="preserve">ADW</w:t>
            </w:r>
          </w:p>
        </w:tc>
      </w:tr>
      <w:tr>
        <w:tc>
          <w:tcPr>
            <w:tcW w:type="dxa" w:w="2500"/>
            <w:tcMar>
              <w:top w:type="dxa" w:w="70"/>
              <w:left w:type="dxa" w:w="110"/>
              <w:bottom w:type="dxa" w:w="70"/>
              <w:right w:type="dxa" w:w="110"/>
            </w:tcMar>
          </w:tcPr>
          <w:p>
            <w:pPr>
              <w:spacing w:after="0"/>
            </w:pPr>
            <w:r>
              <w:rPr>
                <w:rFonts w:ascii="Consolas" w:cs="Consolas" w:eastAsia="Consolas" w:hAnsi="Consolas"/>
                <w:b w:val="false"/>
                <w:bCs w:val="false"/>
                <w:sz w:val="19"/>
                <w:szCs w:val="19"/>
              </w:rPr>
              <w:t xml:space="preserve">ACME_RAG_PROFILE</w:t>
            </w:r>
          </w:p>
        </w:tc>
        <w:tc>
          <w:tcPr>
            <w:tcW w:type="dxa" w:w="4460"/>
            <w:tcMar>
              <w:top w:type="dxa" w:w="70"/>
              <w:left w:type="dxa" w:w="110"/>
              <w:bottom w:type="dxa" w:w="70"/>
              <w:right w:type="dxa" w:w="110"/>
            </w:tcMar>
          </w:tcPr>
          <w:p>
            <w:pPr>
              <w:spacing w:after="0"/>
            </w:pPr>
            <w:r>
              <w:rPr>
                <w:b w:val="false"/>
                <w:bCs w:val="false"/>
                <w:sz w:val="19"/>
                <w:szCs w:val="19"/>
              </w:rPr>
              <w:t xml:space="preserve">Select AI profile bound to the vector index</w:t>
            </w:r>
          </w:p>
        </w:tc>
        <w:tc>
          <w:tcPr>
            <w:tcW w:type="dxa" w:w="2400"/>
            <w:tcMar>
              <w:top w:type="dxa" w:w="70"/>
              <w:left w:type="dxa" w:w="110"/>
              <w:bottom w:type="dxa" w:w="70"/>
              <w:right w:type="dxa" w:w="110"/>
            </w:tcMar>
          </w:tcPr>
          <w:p>
            <w:pPr>
              <w:spacing w:after="0"/>
            </w:pPr>
            <w:r>
              <w:rPr>
                <w:b w:val="false"/>
                <w:bCs w:val="false"/>
                <w:sz w:val="19"/>
                <w:szCs w:val="19"/>
              </w:rPr>
              <w:t xml:space="preserve">ADW</w:t>
            </w:r>
          </w:p>
        </w:tc>
      </w:tr>
      <w:tr>
        <w:tc>
          <w:tcPr>
            <w:tcW w:type="dxa" w:w="2500"/>
            <w:tcMar>
              <w:top w:type="dxa" w:w="70"/>
              <w:left w:type="dxa" w:w="110"/>
              <w:bottom w:type="dxa" w:w="70"/>
              <w:right w:type="dxa" w:w="110"/>
            </w:tcMar>
          </w:tcPr>
          <w:p>
            <w:pPr>
              <w:spacing w:after="0"/>
            </w:pPr>
            <w:r>
              <w:rPr>
                <w:rFonts w:ascii="Consolas" w:cs="Consolas" w:eastAsia="Consolas" w:hAnsi="Consolas"/>
                <w:b w:val="false"/>
                <w:bCs w:val="false"/>
                <w:sz w:val="19"/>
                <w:szCs w:val="19"/>
              </w:rPr>
              <w:t xml:space="preserve">ACME_VECTOR_INDEX</w:t>
            </w:r>
          </w:p>
        </w:tc>
        <w:tc>
          <w:tcPr>
            <w:tcW w:type="dxa" w:w="4460"/>
            <w:tcMar>
              <w:top w:type="dxa" w:w="70"/>
              <w:left w:type="dxa" w:w="110"/>
              <w:bottom w:type="dxa" w:w="70"/>
              <w:right w:type="dxa" w:w="110"/>
            </w:tcMar>
          </w:tcPr>
          <w:p>
            <w:pPr>
              <w:spacing w:after="0"/>
            </w:pPr>
            <w:r>
              <w:rPr>
                <w:b w:val="false"/>
                <w:bCs w:val="false"/>
                <w:sz w:val="19"/>
                <w:szCs w:val="19"/>
              </w:rPr>
              <w:t xml:space="preserve">Chunked embeddings of the policy documents</w:t>
            </w:r>
          </w:p>
        </w:tc>
        <w:tc>
          <w:tcPr>
            <w:tcW w:type="dxa" w:w="2400"/>
            <w:tcMar>
              <w:top w:type="dxa" w:w="70"/>
              <w:left w:type="dxa" w:w="110"/>
              <w:bottom w:type="dxa" w:w="70"/>
              <w:right w:type="dxa" w:w="110"/>
            </w:tcMar>
          </w:tcPr>
          <w:p>
            <w:pPr>
              <w:spacing w:after="0"/>
            </w:pPr>
            <w:r>
              <w:rPr>
                <w:b w:val="false"/>
                <w:bCs w:val="false"/>
                <w:sz w:val="19"/>
                <w:szCs w:val="19"/>
              </w:rPr>
              <w:t xml:space="preserve">ADW</w:t>
            </w:r>
          </w:p>
        </w:tc>
      </w:tr>
      <w:tr>
        <w:tc>
          <w:tcPr>
            <w:tcW w:type="dxa" w:w="2500"/>
            <w:tcMar>
              <w:top w:type="dxa" w:w="70"/>
              <w:left w:type="dxa" w:w="110"/>
              <w:bottom w:type="dxa" w:w="70"/>
              <w:right w:type="dxa" w:w="110"/>
            </w:tcMar>
          </w:tcPr>
          <w:p>
            <w:pPr>
              <w:spacing w:after="0"/>
            </w:pPr>
            <w:r>
              <w:rPr>
                <w:b w:val="false"/>
                <w:bCs w:val="false"/>
                <w:sz w:val="19"/>
                <w:szCs w:val="19"/>
              </w:rPr>
              <w:t xml:space="preserve">Six agent tools</w:t>
            </w:r>
          </w:p>
        </w:tc>
        <w:tc>
          <w:tcPr>
            <w:tcW w:type="dxa" w:w="4460"/>
            <w:tcMar>
              <w:top w:type="dxa" w:w="70"/>
              <w:left w:type="dxa" w:w="110"/>
              <w:bottom w:type="dxa" w:w="70"/>
              <w:right w:type="dxa" w:w="110"/>
            </w:tcMar>
          </w:tcPr>
          <w:p>
            <w:pPr>
              <w:spacing w:after="0"/>
            </w:pPr>
            <w:r>
              <w:rPr>
                <w:b w:val="false"/>
                <w:bCs w:val="false"/>
                <w:sz w:val="19"/>
                <w:szCs w:val="19"/>
              </w:rPr>
              <w:t xml:space="preserve">Two built-in, four custom</w:t>
            </w:r>
          </w:p>
        </w:tc>
        <w:tc>
          <w:tcPr>
            <w:tcW w:type="dxa" w:w="2400"/>
            <w:tcMar>
              <w:top w:type="dxa" w:w="70"/>
              <w:left w:type="dxa" w:w="110"/>
              <w:bottom w:type="dxa" w:w="70"/>
              <w:right w:type="dxa" w:w="110"/>
            </w:tcMar>
          </w:tcPr>
          <w:p>
            <w:pPr>
              <w:spacing w:after="0"/>
            </w:pPr>
            <w:r>
              <w:rPr>
                <w:b w:val="false"/>
                <w:bCs w:val="false"/>
                <w:sz w:val="19"/>
                <w:szCs w:val="19"/>
              </w:rPr>
              <w:t xml:space="preserve">ADW</w:t>
            </w:r>
          </w:p>
        </w:tc>
      </w:tr>
      <w:tr>
        <w:tc>
          <w:tcPr>
            <w:tcW w:type="dxa" w:w="2500"/>
            <w:tcMar>
              <w:top w:type="dxa" w:w="70"/>
              <w:left w:type="dxa" w:w="110"/>
              <w:bottom w:type="dxa" w:w="70"/>
              <w:right w:type="dxa" w:w="110"/>
            </w:tcMar>
          </w:tcPr>
          <w:p>
            <w:pPr>
              <w:spacing w:after="0"/>
            </w:pPr>
            <w:r>
              <w:rPr>
                <w:rFonts w:ascii="Consolas" w:cs="Consolas" w:eastAsia="Consolas" w:hAnsi="Consolas"/>
                <w:b w:val="false"/>
                <w:bCs w:val="false"/>
                <w:sz w:val="19"/>
                <w:szCs w:val="19"/>
              </w:rPr>
              <w:t xml:space="preserve">ACME_ANALYST</w:t>
            </w:r>
          </w:p>
        </w:tc>
        <w:tc>
          <w:tcPr>
            <w:tcW w:type="dxa" w:w="4460"/>
            <w:tcMar>
              <w:top w:type="dxa" w:w="70"/>
              <w:left w:type="dxa" w:w="110"/>
              <w:bottom w:type="dxa" w:w="70"/>
              <w:right w:type="dxa" w:w="110"/>
            </w:tcMar>
          </w:tcPr>
          <w:p>
            <w:pPr>
              <w:spacing w:after="0"/>
            </w:pPr>
            <w:r>
              <w:rPr>
                <w:b w:val="false"/>
                <w:bCs w:val="false"/>
                <w:sz w:val="19"/>
                <w:szCs w:val="19"/>
              </w:rPr>
              <w:t xml:space="preserve">Agent object holding the persona and the tool list</w:t>
            </w:r>
          </w:p>
        </w:tc>
        <w:tc>
          <w:tcPr>
            <w:tcW w:type="dxa" w:w="2400"/>
            <w:tcMar>
              <w:top w:type="dxa" w:w="70"/>
              <w:left w:type="dxa" w:w="110"/>
              <w:bottom w:type="dxa" w:w="70"/>
              <w:right w:type="dxa" w:w="110"/>
            </w:tcMar>
          </w:tcPr>
          <w:p>
            <w:pPr>
              <w:spacing w:after="0"/>
            </w:pPr>
            <w:r>
              <w:rPr>
                <w:b w:val="false"/>
                <w:bCs w:val="false"/>
                <w:sz w:val="19"/>
                <w:szCs w:val="19"/>
              </w:rPr>
              <w:t xml:space="preserve">ADW</w:t>
            </w:r>
          </w:p>
        </w:tc>
      </w:tr>
      <w:tr>
        <w:tc>
          <w:tcPr>
            <w:tcW w:type="dxa" w:w="2500"/>
            <w:tcMar>
              <w:top w:type="dxa" w:w="70"/>
              <w:left w:type="dxa" w:w="110"/>
              <w:bottom w:type="dxa" w:w="70"/>
              <w:right w:type="dxa" w:w="110"/>
            </w:tcMar>
          </w:tcPr>
          <w:p>
            <w:pPr>
              <w:spacing w:after="0"/>
            </w:pPr>
            <w:r>
              <w:rPr>
                <w:rFonts w:ascii="Consolas" w:cs="Consolas" w:eastAsia="Consolas" w:hAnsi="Consolas"/>
                <w:b w:val="false"/>
                <w:bCs w:val="false"/>
                <w:sz w:val="19"/>
                <w:szCs w:val="19"/>
              </w:rPr>
              <w:t xml:space="preserve">ACME_ANALYST_TEAM</w:t>
            </w:r>
          </w:p>
        </w:tc>
        <w:tc>
          <w:tcPr>
            <w:tcW w:type="dxa" w:w="4460"/>
            <w:tcMar>
              <w:top w:type="dxa" w:w="70"/>
              <w:left w:type="dxa" w:w="110"/>
              <w:bottom w:type="dxa" w:w="70"/>
              <w:right w:type="dxa" w:w="110"/>
            </w:tcMar>
          </w:tcPr>
          <w:p>
            <w:pPr>
              <w:spacing w:after="0"/>
            </w:pPr>
            <w:r>
              <w:rPr>
                <w:b w:val="false"/>
                <w:bCs w:val="false"/>
                <w:sz w:val="19"/>
                <w:szCs w:val="19"/>
              </w:rPr>
              <w:t xml:space="preserve">Sequential team wrapping the agent and its task</w:t>
            </w:r>
          </w:p>
        </w:tc>
        <w:tc>
          <w:tcPr>
            <w:tcW w:type="dxa" w:w="2400"/>
            <w:tcMar>
              <w:top w:type="dxa" w:w="70"/>
              <w:left w:type="dxa" w:w="110"/>
              <w:bottom w:type="dxa" w:w="70"/>
              <w:right w:type="dxa" w:w="110"/>
            </w:tcMar>
          </w:tcPr>
          <w:p>
            <w:pPr>
              <w:spacing w:after="0"/>
            </w:pPr>
            <w:r>
              <w:rPr>
                <w:b w:val="false"/>
                <w:bCs w:val="false"/>
                <w:sz w:val="19"/>
                <w:szCs w:val="19"/>
              </w:rPr>
              <w:t xml:space="preserve">ADW</w:t>
            </w:r>
          </w:p>
        </w:tc>
      </w:tr>
      <w:tr>
        <w:tc>
          <w:tcPr>
            <w:tcW w:type="dxa" w:w="2500"/>
            <w:tcMar>
              <w:top w:type="dxa" w:w="70"/>
              <w:left w:type="dxa" w:w="110"/>
              <w:bottom w:type="dxa" w:w="70"/>
              <w:right w:type="dxa" w:w="110"/>
            </w:tcMar>
          </w:tcPr>
          <w:p>
            <w:pPr>
              <w:spacing w:after="0"/>
            </w:pPr>
            <w:r>
              <w:rPr>
                <w:b w:val="false"/>
                <w:bCs w:val="false"/>
                <w:sz w:val="19"/>
                <w:szCs w:val="19"/>
              </w:rPr>
              <w:t xml:space="preserve">APEX app pages 2-4</w:t>
            </w:r>
          </w:p>
        </w:tc>
        <w:tc>
          <w:tcPr>
            <w:tcW w:type="dxa" w:w="4460"/>
            <w:tcMar>
              <w:top w:type="dxa" w:w="70"/>
              <w:left w:type="dxa" w:w="110"/>
              <w:bottom w:type="dxa" w:w="70"/>
              <w:right w:type="dxa" w:w="110"/>
            </w:tcMar>
          </w:tcPr>
          <w:p>
            <w:pPr>
              <w:spacing w:after="0"/>
            </w:pPr>
            <w:r>
              <w:rPr>
                <w:b w:val="false"/>
                <w:bCs w:val="false"/>
                <w:sz w:val="19"/>
                <w:szCs w:val="19"/>
              </w:rPr>
              <w:t xml:space="preserve">The three chat interfaces</w:t>
            </w:r>
          </w:p>
        </w:tc>
        <w:tc>
          <w:tcPr>
            <w:tcW w:type="dxa" w:w="2400"/>
            <w:tcMar>
              <w:top w:type="dxa" w:w="70"/>
              <w:left w:type="dxa" w:w="110"/>
              <w:bottom w:type="dxa" w:w="70"/>
              <w:right w:type="dxa" w:w="110"/>
            </w:tcMar>
          </w:tcPr>
          <w:p>
            <w:pPr>
              <w:spacing w:after="0"/>
            </w:pPr>
            <w:r>
              <w:rPr>
                <w:b w:val="false"/>
                <w:bCs w:val="false"/>
                <w:sz w:val="19"/>
                <w:szCs w:val="19"/>
              </w:rPr>
              <w:t xml:space="preserve">APEX</w:t>
            </w:r>
          </w:p>
        </w:tc>
      </w:tr>
    </w:tbl>
    <w:p>
      <w:pPr>
        <w:pStyle w:val="Heading1"/>
        <w:spacing w:after="150" w:before="400"/>
      </w:pPr>
      <w:r>
        <w:t xml:space="preserve">2. Prerequisites</w:t>
      </w:r>
    </w:p>
    <w:p>
      <w:pPr>
        <w:pStyle w:val="Heading2"/>
        <w:spacing w:after="110" w:before="300"/>
      </w:pPr>
      <w:r>
        <w:t xml:space="preserve">2.1 OCI access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shd w:fill="DCE6F1" w:val="clear"/>
            <w:tcMar>
              <w:top w:type="dxa" w:w="70"/>
              <w:left w:type="dxa" w:w="110"/>
              <w:bottom w:type="dxa" w:w="70"/>
              <w:right w:type="dxa" w:w="110"/>
            </w:tcMar>
          </w:tcPr>
          <w:p>
            <w:pPr>
              <w:spacing w:after="0"/>
            </w:pPr>
            <w:r>
              <w:rPr>
                <w:b/>
                <w:bCs/>
                <w:sz w:val="19"/>
                <w:szCs w:val="19"/>
              </w:rPr>
              <w:t xml:space="preserve">Requirement</w:t>
            </w:r>
          </w:p>
        </w:tc>
        <w:tc>
          <w:tcPr>
            <w:tcW w:type="dxa" w:w="7060"/>
            <w:shd w:fill="DCE6F1" w:val="clear"/>
            <w:tcMar>
              <w:top w:type="dxa" w:w="70"/>
              <w:left w:type="dxa" w:w="110"/>
              <w:bottom w:type="dxa" w:w="70"/>
              <w:right w:type="dxa" w:w="110"/>
            </w:tcMar>
          </w:tcPr>
          <w:p>
            <w:pPr>
              <w:spacing w:after="0"/>
            </w:pPr>
            <w:r>
              <w:rPr>
                <w:b/>
                <w:bCs/>
                <w:sz w:val="19"/>
                <w:szCs w:val="19"/>
              </w:rPr>
              <w:t xml:space="preserve">Detail</w:t>
            </w:r>
          </w:p>
        </w:tc>
      </w:tr>
      <w:tr>
        <w:tc>
          <w:tcPr>
            <w:tcW w:type="dxa" w:w="2300"/>
            <w:tcMar>
              <w:top w:type="dxa" w:w="70"/>
              <w:left w:type="dxa" w:w="110"/>
              <w:bottom w:type="dxa" w:w="70"/>
              <w:right w:type="dxa" w:w="110"/>
            </w:tcMar>
          </w:tcPr>
          <w:p>
            <w:pPr>
              <w:spacing w:after="0"/>
            </w:pPr>
            <w:r>
              <w:rPr>
                <w:b w:val="false"/>
                <w:bCs w:val="false"/>
                <w:sz w:val="19"/>
                <w:szCs w:val="19"/>
              </w:rPr>
              <w:t xml:space="preserve">Compartment</w:t>
            </w:r>
          </w:p>
        </w:tc>
        <w:tc>
          <w:tcPr>
            <w:tcW w:type="dxa" w:w="7060"/>
            <w:tcMar>
              <w:top w:type="dxa" w:w="70"/>
              <w:left w:type="dxa" w:w="110"/>
              <w:bottom w:type="dxa" w:w="70"/>
              <w:right w:type="dxa" w:w="110"/>
            </w:tcMar>
          </w:tcPr>
          <w:p>
            <w:pPr>
              <w:spacing w:after="0"/>
            </w:pPr>
            <w:r>
              <w:rPr>
                <w:b w:val="false"/>
                <w:bCs w:val="false"/>
                <w:sz w:val="19"/>
                <w:szCs w:val="19"/>
              </w:rPr>
              <w:t xml:space="preserve">A compartment for the AI resources. Referred to below as &lt;your-compartment-ocid&gt;.</w:t>
            </w:r>
          </w:p>
        </w:tc>
      </w:tr>
      <w:tr>
        <w:tc>
          <w:tcPr>
            <w:tcW w:type="dxa" w:w="2300"/>
            <w:tcMar>
              <w:top w:type="dxa" w:w="70"/>
              <w:left w:type="dxa" w:w="110"/>
              <w:bottom w:type="dxa" w:w="70"/>
              <w:right w:type="dxa" w:w="110"/>
            </w:tcMar>
          </w:tcPr>
          <w:p>
            <w:pPr>
              <w:spacing w:after="0"/>
            </w:pPr>
            <w:r>
              <w:rPr>
                <w:b w:val="false"/>
                <w:bCs w:val="false"/>
                <w:sz w:val="19"/>
                <w:szCs w:val="19"/>
              </w:rPr>
              <w:t xml:space="preserve">Generative AI service</w:t>
            </w:r>
          </w:p>
        </w:tc>
        <w:tc>
          <w:tcPr>
            <w:tcW w:type="dxa" w:w="7060"/>
            <w:tcMar>
              <w:top w:type="dxa" w:w="70"/>
              <w:left w:type="dxa" w:w="110"/>
              <w:bottom w:type="dxa" w:w="70"/>
              <w:right w:type="dxa" w:w="110"/>
            </w:tcMar>
          </w:tcPr>
          <w:p>
            <w:pPr>
              <w:spacing w:after="0"/>
            </w:pPr>
            <w:r>
              <w:rPr>
                <w:b w:val="false"/>
                <w:bCs w:val="false"/>
                <w:sz w:val="19"/>
                <w:szCs w:val="19"/>
              </w:rPr>
              <w:t xml:space="preserve">Available in the chosen region, with model access enabled.</w:t>
            </w:r>
          </w:p>
        </w:tc>
      </w:tr>
      <w:tr>
        <w:tc>
          <w:tcPr>
            <w:tcW w:type="dxa" w:w="2300"/>
            <w:tcMar>
              <w:top w:type="dxa" w:w="70"/>
              <w:left w:type="dxa" w:w="110"/>
              <w:bottom w:type="dxa" w:w="70"/>
              <w:right w:type="dxa" w:w="110"/>
            </w:tcMar>
          </w:tcPr>
          <w:p>
            <w:pPr>
              <w:spacing w:after="0"/>
            </w:pPr>
            <w:r>
              <w:rPr>
                <w:b w:val="false"/>
                <w:bCs w:val="false"/>
                <w:sz w:val="19"/>
                <w:szCs w:val="19"/>
              </w:rPr>
              <w:t xml:space="preserve">Object Storage bucket</w:t>
            </w:r>
          </w:p>
        </w:tc>
        <w:tc>
          <w:tcPr>
            <w:tcW w:type="dxa" w:w="7060"/>
            <w:tcMar>
              <w:top w:type="dxa" w:w="70"/>
              <w:left w:type="dxa" w:w="110"/>
              <w:bottom w:type="dxa" w:w="70"/>
              <w:right w:type="dxa" w:w="110"/>
            </w:tcMar>
          </w:tcPr>
          <w:p>
            <w:pPr>
              <w:spacing w:after="0"/>
            </w:pPr>
            <w:r>
              <w:rPr>
                <w:b w:val="false"/>
                <w:bCs w:val="false"/>
                <w:sz w:val="19"/>
                <w:szCs w:val="19"/>
              </w:rPr>
              <w:t xml:space="preserve">Holds the source documents. Referred to as &lt;your-bucket&gt; in &lt;your-namespace&gt;.</w:t>
            </w:r>
          </w:p>
        </w:tc>
      </w:tr>
      <w:tr>
        <w:tc>
          <w:tcPr>
            <w:tcW w:type="dxa" w:w="2300"/>
            <w:tcMar>
              <w:top w:type="dxa" w:w="70"/>
              <w:left w:type="dxa" w:w="110"/>
              <w:bottom w:type="dxa" w:w="70"/>
              <w:right w:type="dxa" w:w="110"/>
            </w:tcMar>
          </w:tcPr>
          <w:p>
            <w:pPr>
              <w:spacing w:after="0"/>
            </w:pPr>
            <w:r>
              <w:rPr>
                <w:b w:val="false"/>
                <w:bCs w:val="false"/>
                <w:sz w:val="19"/>
                <w:szCs w:val="19"/>
              </w:rPr>
              <w:t xml:space="preserve">Dynamic group</w:t>
            </w:r>
          </w:p>
        </w:tc>
        <w:tc>
          <w:tcPr>
            <w:tcW w:type="dxa" w:w="7060"/>
            <w:tcMar>
              <w:top w:type="dxa" w:w="70"/>
              <w:left w:type="dxa" w:w="110"/>
              <w:bottom w:type="dxa" w:w="70"/>
              <w:right w:type="dxa" w:w="110"/>
            </w:tcMar>
          </w:tcPr>
          <w:p>
            <w:pPr>
              <w:spacing w:after="0"/>
            </w:pPr>
            <w:r>
              <w:rPr>
                <w:b w:val="false"/>
                <w:bCs w:val="false"/>
                <w:sz w:val="19"/>
                <w:szCs w:val="19"/>
              </w:rPr>
              <w:t xml:space="preserve">Matching the Autonomous Database instance, so it can authenticate as itself.</w:t>
            </w:r>
          </w:p>
        </w:tc>
      </w:tr>
      <w:tr>
        <w:tc>
          <w:tcPr>
            <w:tcW w:type="dxa" w:w="2300"/>
            <w:tcMar>
              <w:top w:type="dxa" w:w="70"/>
              <w:left w:type="dxa" w:w="110"/>
              <w:bottom w:type="dxa" w:w="70"/>
              <w:right w:type="dxa" w:w="110"/>
            </w:tcMar>
          </w:tcPr>
          <w:p>
            <w:pPr>
              <w:spacing w:after="0"/>
            </w:pPr>
            <w:r>
              <w:rPr>
                <w:b w:val="false"/>
                <w:bCs w:val="false"/>
                <w:sz w:val="19"/>
                <w:szCs w:val="19"/>
              </w:rPr>
              <w:t xml:space="preserve">IAM policy</w:t>
            </w:r>
          </w:p>
        </w:tc>
        <w:tc>
          <w:tcPr>
            <w:tcW w:type="dxa" w:w="7060"/>
            <w:tcMar>
              <w:top w:type="dxa" w:w="70"/>
              <w:left w:type="dxa" w:w="110"/>
              <w:bottom w:type="dxa" w:w="70"/>
              <w:right w:type="dxa" w:w="110"/>
            </w:tcMar>
          </w:tcPr>
          <w:p>
            <w:pPr>
              <w:spacing w:after="0"/>
            </w:pPr>
            <w:r>
              <w:rPr>
                <w:b w:val="false"/>
                <w:bCs w:val="false"/>
                <w:sz w:val="19"/>
                <w:szCs w:val="19"/>
              </w:rPr>
              <w:t xml:space="preserve">Granting that dynamic group access to Generative AI, Object Storage and Vault.</w:t>
            </w:r>
          </w:p>
        </w:tc>
      </w:tr>
      <w:tr>
        <w:tc>
          <w:tcPr>
            <w:tcW w:type="dxa" w:w="2300"/>
            <w:tcMar>
              <w:top w:type="dxa" w:w="70"/>
              <w:left w:type="dxa" w:w="110"/>
              <w:bottom w:type="dxa" w:w="70"/>
              <w:right w:type="dxa" w:w="110"/>
            </w:tcMar>
          </w:tcPr>
          <w:p>
            <w:pPr>
              <w:spacing w:after="0"/>
            </w:pPr>
            <w:r>
              <w:rPr>
                <w:b w:val="false"/>
                <w:bCs w:val="false"/>
                <w:sz w:val="19"/>
                <w:szCs w:val="19"/>
              </w:rPr>
              <w:t xml:space="preserve">Vault</w:t>
            </w:r>
          </w:p>
        </w:tc>
        <w:tc>
          <w:tcPr>
            <w:tcW w:type="dxa" w:w="7060"/>
            <w:tcMar>
              <w:top w:type="dxa" w:w="70"/>
              <w:left w:type="dxa" w:w="110"/>
              <w:bottom w:type="dxa" w:w="70"/>
              <w:right w:type="dxa" w:w="110"/>
            </w:tcMar>
          </w:tcPr>
          <w:p>
            <w:pPr>
              <w:spacing w:after="0"/>
            </w:pPr>
            <w:r>
              <w:rPr>
                <w:b w:val="false"/>
                <w:bCs w:val="false"/>
                <w:sz w:val="19"/>
                <w:szCs w:val="19"/>
              </w:rPr>
              <w:t xml:space="preserve">One vault and key. Used for any password the database needs to present, notably the OML token exchange.</w:t>
            </w:r>
          </w:p>
        </w:tc>
      </w:tr>
    </w:tbl>
    <w:p>
      <w:pPr>
        <w:pStyle w:val="Heading2"/>
        <w:spacing w:after="110" w:before="300"/>
      </w:pPr>
      <w:r>
        <w:t xml:space="preserve">2.2 Database access requirements</w:t>
      </w:r>
    </w:p>
    <w:p>
      <w:pPr>
        <w:spacing w:after="140"/>
        <w:jc w:val="both"/>
      </w:pPr>
      <w:r>
        <w:rPr>
          <w:sz w:val="21"/>
          <w:szCs w:val="21"/>
        </w:rPr>
        <w:t xml:space="preserve">Two personal logins connect to the database, and they are deliberately not the same account. The DE provisions; the DS builds and runs agents. Splitting them means a data scientist cannot mint credentials or read across schemas, and it makes the pre-flight checks meaningful rather than decorative.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2560"/>
        <w:gridCol w:w="2200"/>
      </w:tblGrid>
      <w:tr>
        <w:trPr>
          <w:tblHeader/>
        </w:trPr>
        <w:tc>
          <w:tcPr>
            <w:tcW w:type="dxa" w:w="1500"/>
            <w:shd w:fill="DCE6F1" w:val="clear"/>
            <w:tcMar>
              <w:top w:type="dxa" w:w="70"/>
              <w:left w:type="dxa" w:w="110"/>
              <w:bottom w:type="dxa" w:w="70"/>
              <w:right w:type="dxa" w:w="110"/>
            </w:tcMar>
          </w:tcPr>
          <w:p>
            <w:pPr>
              <w:spacing w:after="0"/>
            </w:pPr>
            <w:r>
              <w:rPr>
                <w:b/>
                <w:bCs/>
                <w:sz w:val="19"/>
                <w:szCs w:val="19"/>
              </w:rPr>
              <w:t xml:space="preserve">Login</w:t>
            </w:r>
          </w:p>
        </w:tc>
        <w:tc>
          <w:tcPr>
            <w:tcW w:type="dxa" w:w="3100"/>
            <w:shd w:fill="DCE6F1" w:val="clear"/>
            <w:tcMar>
              <w:top w:type="dxa" w:w="70"/>
              <w:left w:type="dxa" w:w="110"/>
              <w:bottom w:type="dxa" w:w="70"/>
              <w:right w:type="dxa" w:w="110"/>
            </w:tcMar>
          </w:tcPr>
          <w:p>
            <w:pPr>
              <w:spacing w:after="0"/>
            </w:pPr>
            <w:r>
              <w:rPr>
                <w:b/>
                <w:bCs/>
                <w:sz w:val="19"/>
                <w:szCs w:val="19"/>
              </w:rPr>
              <w:t xml:space="preserve">Packages</w:t>
            </w:r>
          </w:p>
        </w:tc>
        <w:tc>
          <w:tcPr>
            <w:tcW w:type="dxa" w:w="2560"/>
            <w:shd w:fill="DCE6F1" w:val="clear"/>
            <w:tcMar>
              <w:top w:type="dxa" w:w="70"/>
              <w:left w:type="dxa" w:w="110"/>
              <w:bottom w:type="dxa" w:w="70"/>
              <w:right w:type="dxa" w:w="110"/>
            </w:tcMar>
          </w:tcPr>
          <w:p>
            <w:pPr>
              <w:spacing w:after="0"/>
            </w:pPr>
            <w:r>
              <w:rPr>
                <w:b/>
                <w:bCs/>
                <w:sz w:val="19"/>
                <w:szCs w:val="19"/>
              </w:rPr>
              <w:t xml:space="preserve">System privileges</w:t>
            </w:r>
          </w:p>
        </w:tc>
        <w:tc>
          <w:tcPr>
            <w:tcW w:type="dxa" w:w="2200"/>
            <w:shd w:fill="DCE6F1" w:val="clear"/>
            <w:tcMar>
              <w:top w:type="dxa" w:w="70"/>
              <w:left w:type="dxa" w:w="110"/>
              <w:bottom w:type="dxa" w:w="70"/>
              <w:right w:type="dxa" w:w="110"/>
            </w:tcMar>
          </w:tcPr>
          <w:p>
            <w:pPr>
              <w:spacing w:after="0"/>
            </w:pPr>
            <w:r>
              <w:rPr>
                <w:b/>
                <w:bCs/>
                <w:sz w:val="19"/>
                <w:szCs w:val="19"/>
              </w:rPr>
              <w:t xml:space="preserve">Purpose</w:t>
            </w:r>
          </w:p>
        </w:tc>
      </w:tr>
      <w:tr>
        <w:tc>
          <w:tcPr>
            <w:tcW w:type="dxa" w:w="1500"/>
            <w:tcMar>
              <w:top w:type="dxa" w:w="70"/>
              <w:left w:type="dxa" w:w="110"/>
              <w:bottom w:type="dxa" w:w="70"/>
              <w:right w:type="dxa" w:w="110"/>
            </w:tcMar>
          </w:tcPr>
          <w:p>
            <w:pPr>
              <w:spacing w:after="0"/>
            </w:pPr>
            <w:r>
              <w:rPr>
                <w:rFonts w:ascii="Consolas" w:cs="Consolas" w:eastAsia="Consolas" w:hAnsi="Consolas"/>
                <w:b w:val="false"/>
                <w:bCs w:val="false"/>
                <w:sz w:val="19"/>
                <w:szCs w:val="19"/>
              </w:rPr>
              <w:t xml:space="preserve">DE_USER</w:t>
            </w:r>
          </w:p>
        </w:tc>
        <w:tc>
          <w:tcPr>
            <w:tcW w:type="dxa" w:w="3100"/>
            <w:tcMar>
              <w:top w:type="dxa" w:w="70"/>
              <w:left w:type="dxa" w:w="110"/>
              <w:bottom w:type="dxa" w:w="70"/>
              <w:right w:type="dxa" w:w="110"/>
            </w:tcMar>
          </w:tcPr>
          <w:p>
            <w:pPr>
              <w:spacing w:after="0"/>
            </w:pPr>
            <w:r>
              <w:rPr>
                <w:rFonts w:ascii="Consolas" w:cs="Consolas" w:eastAsia="Consolas" w:hAnsi="Consolas"/>
                <w:b w:val="false"/>
                <w:bCs w:val="false"/>
                <w:sz w:val="19"/>
                <w:szCs w:val="19"/>
              </w:rPr>
              <w:t xml:space="preserve">DBMS_CLOUD_AI, DBMS_CLOUD_AI_AGENT, DBMS_CLOUD, DBMS_CLOUD_ADMIN</w:t>
            </w:r>
          </w:p>
        </w:tc>
        <w:tc>
          <w:tcPr>
            <w:tcW w:type="dxa" w:w="2560"/>
            <w:tcMar>
              <w:top w:type="dxa" w:w="70"/>
              <w:left w:type="dxa" w:w="110"/>
              <w:bottom w:type="dxa" w:w="70"/>
              <w:right w:type="dxa" w:w="110"/>
            </w:tcMar>
          </w:tcPr>
          <w:p>
            <w:pPr>
              <w:spacing w:after="0"/>
            </w:pPr>
            <w:r>
              <w:rPr>
                <w:b w:val="false"/>
                <w:bCs w:val="false"/>
                <w:sz w:val="19"/>
                <w:szCs w:val="19"/>
              </w:rPr>
              <w:t xml:space="preserve">SELECT ANY TABLE, SELECT ANY DICTIONARY, COMMENT ANY TABLE</w:t>
            </w:r>
          </w:p>
        </w:tc>
        <w:tc>
          <w:tcPr>
            <w:tcW w:type="dxa" w:w="2200"/>
            <w:tcMar>
              <w:top w:type="dxa" w:w="70"/>
              <w:left w:type="dxa" w:w="110"/>
              <w:bottom w:type="dxa" w:w="70"/>
              <w:right w:type="dxa" w:w="110"/>
            </w:tcMar>
          </w:tcPr>
          <w:p>
            <w:pPr>
              <w:spacing w:after="0"/>
            </w:pPr>
            <w:r>
              <w:rPr>
                <w:b w:val="false"/>
                <w:bCs w:val="false"/>
                <w:sz w:val="19"/>
                <w:szCs w:val="19"/>
              </w:rPr>
              <w:t xml:space="preserve">Creates credentials, reaches Object Storage, comments tables</w:t>
            </w:r>
          </w:p>
        </w:tc>
      </w:tr>
      <w:tr>
        <w:tc>
          <w:tcPr>
            <w:tcW w:type="dxa" w:w="1500"/>
            <w:tcMar>
              <w:top w:type="dxa" w:w="70"/>
              <w:left w:type="dxa" w:w="110"/>
              <w:bottom w:type="dxa" w:w="70"/>
              <w:right w:type="dxa" w:w="110"/>
            </w:tcMar>
          </w:tcPr>
          <w:p>
            <w:pPr>
              <w:spacing w:after="0"/>
            </w:pPr>
            <w:r>
              <w:rPr>
                <w:rFonts w:ascii="Consolas" w:cs="Consolas" w:eastAsia="Consolas" w:hAnsi="Consolas"/>
                <w:b w:val="false"/>
                <w:bCs w:val="false"/>
                <w:sz w:val="19"/>
                <w:szCs w:val="19"/>
              </w:rPr>
              <w:t xml:space="preserve">DS_USER</w:t>
            </w:r>
          </w:p>
        </w:tc>
        <w:tc>
          <w:tcPr>
            <w:tcW w:type="dxa" w:w="3100"/>
            <w:tcMar>
              <w:top w:type="dxa" w:w="70"/>
              <w:left w:type="dxa" w:w="110"/>
              <w:bottom w:type="dxa" w:w="70"/>
              <w:right w:type="dxa" w:w="110"/>
            </w:tcMar>
          </w:tcPr>
          <w:p>
            <w:pPr>
              <w:spacing w:after="0"/>
            </w:pPr>
            <w:r>
              <w:rPr>
                <w:rFonts w:ascii="Consolas" w:cs="Consolas" w:eastAsia="Consolas" w:hAnsi="Consolas"/>
                <w:b w:val="false"/>
                <w:bCs w:val="false"/>
                <w:sz w:val="19"/>
                <w:szCs w:val="19"/>
              </w:rPr>
              <w:t xml:space="preserve">DBMS_CLOUD_AI, DBMS_CLOUD_AI_AGENT</w:t>
            </w:r>
          </w:p>
        </w:tc>
        <w:tc>
          <w:tcPr>
            <w:tcW w:type="dxa" w:w="2560"/>
            <w:tcMar>
              <w:top w:type="dxa" w:w="70"/>
              <w:left w:type="dxa" w:w="110"/>
              <w:bottom w:type="dxa" w:w="70"/>
              <w:right w:type="dxa" w:w="110"/>
            </w:tcMar>
          </w:tcPr>
          <w:p>
            <w:pPr>
              <w:spacing w:after="0"/>
            </w:pPr>
            <w:r>
              <w:rPr>
                <w:b w:val="false"/>
                <w:bCs w:val="false"/>
                <w:sz w:val="19"/>
                <w:szCs w:val="19"/>
              </w:rPr>
              <w:t xml:space="preserve">CREATE SESSION only</w:t>
            </w:r>
          </w:p>
        </w:tc>
        <w:tc>
          <w:tcPr>
            <w:tcW w:type="dxa" w:w="2200"/>
            <w:tcMar>
              <w:top w:type="dxa" w:w="70"/>
              <w:left w:type="dxa" w:w="110"/>
              <w:bottom w:type="dxa" w:w="70"/>
              <w:right w:type="dxa" w:w="110"/>
            </w:tcMar>
          </w:tcPr>
          <w:p>
            <w:pPr>
              <w:spacing w:after="0"/>
            </w:pPr>
            <w:r>
              <w:rPr>
                <w:b w:val="false"/>
                <w:bCs w:val="false"/>
                <w:sz w:val="19"/>
                <w:szCs w:val="19"/>
              </w:rPr>
              <w:t xml:space="preserve">Builds and runs agents inside one schema</w:t>
            </w:r>
          </w:p>
        </w:tc>
      </w:tr>
    </w:tbl>
    <w:p>
      <w:pPr>
        <w:spacing w:after="140"/>
        <w:jc w:val="both"/>
      </w:pPr>
      <w:r>
        <w:rPr>
          <w:sz w:val="21"/>
          <w:szCs w:val="21"/>
        </w:rPr>
        <w:t xml:space="preserve">Both connect through a proxy into the agent schema, so neither ever needs the schema password:</w:t>
      </w:r>
    </w:p>
    <w:p>
      <w:pPr>
        <w:pBdr>
          <w:left w:val="single" w:color="1F4E79" w:sz="14" w:space="8"/>
        </w:pBdr>
        <w:shd w:fill="F4F6F8" w:val="clear"/>
        <w:spacing w:after="0" w:before="100" w:line="250"/>
        <w:ind w:left="220" w:right="120"/>
      </w:pPr>
      <w:r>
        <w:rPr>
          <w:rFonts w:ascii="Consolas" w:cs="Consolas" w:eastAsia="Consolas" w:hAnsi="Consolas"/>
          <w:sz w:val="17"/>
          <w:szCs w:val="17"/>
        </w:rPr>
        <w:t xml:space="preserve">ALTER USER acme_corp GRANT CONNECT THROUGH de_user;</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ALTER USER acme_corp GRANT CONNECT THROUGH ds_user;</w:t>
      </w:r>
    </w:p>
    <w:p>
      <w:pPr>
        <w:pBdr>
          <w:left w:val="single" w:color="1F4E79" w:sz="14" w:space="8"/>
        </w:pBdr>
        <w:shd w:fill="F4F6F8" w:val="clear"/>
        <w:spacing w:after="160" w:before="0" w:line="250"/>
        <w:ind w:left="220" w:right="120"/>
      </w:pPr>
      <w:r>
        <w:rPr>
          <w:rFonts w:ascii="Consolas" w:cs="Consolas" w:eastAsia="Consolas" w:hAnsi="Consolas"/>
          <w:sz w:val="17"/>
          <w:szCs w:val="17"/>
        </w:rPr>
        <w:t xml:space="preserve">ALTER USER acme_corp DEFAULT ROLE ALL;</w:t>
      </w:r>
    </w:p>
    <w:p>
      <w:pPr>
        <w:pBdr>
          <w:top w:val="single" w:color="C87F0A" w:sz="4" w:space="7"/>
          <w:bottom w:val="single" w:color="C87F0A" w:sz="4" w:space="7"/>
          <w:left w:val="single" w:color="C87F0A" w:sz="20" w:space="9"/>
          <w:right w:val="single" w:color="C87F0A" w:sz="4" w:space="7"/>
        </w:pBdr>
        <w:shd w:fill="FDF3E3" w:val="clear"/>
        <w:spacing w:after="180" w:before="120"/>
        <w:ind w:left="170" w:right="170"/>
      </w:pPr>
      <w:r>
        <w:rPr>
          <w:b/>
          <w:bCs/>
          <w:sz w:val="20"/>
          <w:szCs w:val="20"/>
        </w:rPr>
        <w:t xml:space="preserve">CAUTION   </w:t>
      </w:r>
      <w:r>
        <w:rPr>
          <w:sz w:val="20"/>
          <w:szCs w:val="20"/>
        </w:rPr>
        <w:t xml:space="preserve">DEFAULT ROLE ALL is not decoration. Without it a proxied session starts with no roles enabled, and any privilege the schema holds through a role silently disappears — including table access that NL2SQL depends on. The failure surfaces as the agent claiming a table does not exist.</w:t>
      </w:r>
    </w:p>
    <w:p>
      <w:pPr>
        <w:pBdr>
          <w:top w:val="single" w:color="C87F0A" w:sz="4" w:space="7"/>
          <w:bottom w:val="single" w:color="C87F0A" w:sz="4" w:space="7"/>
          <w:left w:val="single" w:color="C87F0A" w:sz="20" w:space="9"/>
          <w:right w:val="single" w:color="C87F0A" w:sz="4" w:space="7"/>
        </w:pBdr>
        <w:shd w:fill="FDF3E3" w:val="clear"/>
        <w:spacing w:after="180" w:before="120"/>
        <w:ind w:left="170" w:right="170"/>
      </w:pPr>
      <w:r>
        <w:rPr>
          <w:b/>
          <w:bCs/>
          <w:sz w:val="20"/>
          <w:szCs w:val="20"/>
        </w:rPr>
        <w:t xml:space="preserve">CAUTION   </w:t>
      </w:r>
      <w:r>
        <w:rPr>
          <w:sz w:val="20"/>
          <w:szCs w:val="20"/>
        </w:rPr>
        <w:t xml:space="preserve">Grant the DE's system privileges directly rather than through a role. A privilege held only through a non-default role does not appear in SESSION_PRIVS, so any check that reads the privilege views will report it missing while the account genuinely has it in other contexts.</w:t>
      </w:r>
    </w:p>
    <w:p>
      <w:pPr>
        <w:pStyle w:val="Heading1"/>
        <w:spacing w:after="150" w:before="400"/>
      </w:pPr>
      <w:r>
        <w:t xml:space="preserve">3. Phase 1 — OCI setup (GenAI Agent)</w:t>
      </w:r>
    </w:p>
    <w:p>
      <w:pPr>
        <w:pStyle w:val="Heading2"/>
        <w:spacing w:after="110" w:before="300"/>
      </w:pPr>
      <w:r>
        <w:t xml:space="preserve">3.1 Object Storage — upload the documents</w:t>
      </w:r>
    </w:p>
    <w:p>
      <w:pPr>
        <w:spacing w:after="140"/>
        <w:jc w:val="both"/>
      </w:pPr>
      <w:r>
        <w:rPr>
          <w:sz w:val="21"/>
          <w:szCs w:val="21"/>
        </w:rPr>
        <w:t xml:space="preserve">The knowledge base reads from a prefix inside a bucket. Create the prefix first, then bulk upload, then verify — the agent will happily index an empty prefix and answer nothing.</w:t>
      </w:r>
    </w:p>
    <w:p>
      <w:pPr>
        <w:pBdr>
          <w:left w:val="single" w:color="1F4E79" w:sz="14" w:space="8"/>
        </w:pBdr>
        <w:shd w:fill="F4F6F8" w:val="clear"/>
        <w:spacing w:after="0" w:before="100" w:line="250"/>
        <w:ind w:left="220" w:right="120"/>
      </w:pPr>
      <w:r>
        <w:rPr>
          <w:rFonts w:ascii="Consolas" w:cs="Consolas" w:eastAsia="Consolas" w:hAnsi="Consolas"/>
          <w:sz w:val="17"/>
          <w:szCs w:val="17"/>
        </w:rPr>
        <w:t xml:space="preserve">oci os object put -bs &lt;your-bucket&gt; --name &lt;your-prefix&gt;/ --file /dev/null</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oci os object bulk-upload -bs &lt;your-bucket&gt; --src-dir ./kb --object-prefix &lt;your-prefix&gt;/</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oci os object list -bs &lt;your-bucket&gt; --prefix &lt;your-prefix&gt; \</w:t>
      </w:r>
    </w:p>
    <w:p>
      <w:pPr>
        <w:pBdr>
          <w:left w:val="single" w:color="1F4E79" w:sz="14" w:space="8"/>
        </w:pBdr>
        <w:shd w:fill="F4F6F8" w:val="clear"/>
        <w:spacing w:after="160" w:before="0" w:line="250"/>
        <w:ind w:left="220" w:right="120"/>
      </w:pPr>
      <w:r>
        <w:rPr>
          <w:rFonts w:ascii="Consolas" w:cs="Consolas" w:eastAsia="Consolas" w:hAnsi="Consolas"/>
          <w:sz w:val="17"/>
          <w:szCs w:val="17"/>
        </w:rPr>
        <w:t xml:space="preserve">  --query 'data[].{name:name,size:size}' --output table</w:t>
      </w:r>
    </w:p>
    <w:p>
      <w:pPr>
        <w:pStyle w:val="Heading2"/>
        <w:spacing w:after="110" w:before="300"/>
      </w:pPr>
      <w:r>
        <w:t xml:space="preserve">3.2 Create the knowledge base</w:t>
      </w:r>
    </w:p>
    <w:p>
      <w:pPr>
        <w:spacing w:after="140"/>
        <w:jc w:val="both"/>
      </w:pPr>
      <w:r>
        <w:rPr>
          <w:sz w:val="21"/>
          <w:szCs w:val="21"/>
        </w:rPr>
        <w:t xml:space="preserve">Point a Generative AI Agents knowledge base at that bucket and prefix, using an Object Storage data source. Run the ingestion job and confirm it reports the expected document count before moving on.</w:t>
      </w:r>
    </w:p>
    <w:p>
      <w:pPr>
        <w:pStyle w:val="Heading2"/>
        <w:spacing w:after="110" w:before="300"/>
      </w:pPr>
      <w:r>
        <w:t xml:space="preserve">3.3 Create the agent and endpoint</w:t>
      </w:r>
    </w:p>
    <w:p>
      <w:pPr>
        <w:spacing w:after="140"/>
        <w:jc w:val="both"/>
      </w:pPr>
      <w:r>
        <w:rPr>
          <w:sz w:val="21"/>
          <w:szCs w:val="21"/>
        </w:rPr>
        <w:t xml:space="preserve">Create the agent against the knowledge base, then create an endpoint for it. The endpoint OCID is what the database calls; record it as &lt;your-agent-endpoint-ocid&gt;.</w:t>
      </w:r>
    </w:p>
    <w:p>
      <w:pPr>
        <w:pStyle w:val="Heading1"/>
        <w:spacing w:after="150" w:before="400"/>
      </w:pPr>
      <w:r>
        <w:t xml:space="preserve">4. IAM policy configuration</w:t>
      </w:r>
    </w:p>
    <w:p>
      <w:pPr>
        <w:pStyle w:val="Heading2"/>
        <w:spacing w:after="110" w:before="300"/>
      </w:pPr>
      <w:r>
        <w:t xml:space="preserve">4.1 Policy design</w:t>
      </w:r>
    </w:p>
    <w:p>
      <w:pPr>
        <w:spacing w:after="140"/>
        <w:jc w:val="both"/>
      </w:pPr>
      <w:r>
        <w:rPr>
          <w:sz w:val="21"/>
          <w:szCs w:val="21"/>
        </w:rPr>
        <w:t xml:space="preserve">The database authenticates as itself using a Resource Principal, so the policy grants to a dynamic group rather than to a user. Match the dynamic group on the Autonomous Database instance.</w:t>
      </w:r>
    </w:p>
    <w:p>
      <w:pPr>
        <w:pBdr>
          <w:left w:val="single" w:color="1F4E79" w:sz="14" w:space="8"/>
        </w:pBdr>
        <w:shd w:fill="F4F6F8" w:val="clear"/>
        <w:spacing w:after="0" w:before="100" w:line="250"/>
        <w:ind w:left="220" w:right="120"/>
      </w:pPr>
      <w:r>
        <w:rPr>
          <w:rFonts w:ascii="Consolas" w:cs="Consolas" w:eastAsia="Consolas" w:hAnsi="Consolas"/>
          <w:sz w:val="17"/>
          <w:szCs w:val="17"/>
        </w:rPr>
        <w:t xml:space="preserve">-- dynamic group: dg-acme-adw</w:t>
      </w:r>
    </w:p>
    <w:p>
      <w:pPr>
        <w:pBdr>
          <w:left w:val="single" w:color="1F4E79" w:sz="14" w:space="8"/>
        </w:pBdr>
        <w:shd w:fill="F4F6F8" w:val="clear"/>
        <w:spacing w:after="160" w:before="0" w:line="250"/>
        <w:ind w:left="220" w:right="120"/>
      </w:pPr>
      <w:r>
        <w:rPr>
          <w:rFonts w:ascii="Consolas" w:cs="Consolas" w:eastAsia="Consolas" w:hAnsi="Consolas"/>
          <w:sz w:val="17"/>
          <w:szCs w:val="17"/>
        </w:rPr>
        <w:t xml:space="preserve">ALL {resource.type = 'autonomousdatabase', resource.id = '&lt;your-adb-ocid&gt;'}</w:t>
      </w:r>
    </w:p>
    <w:p>
      <w:pPr>
        <w:pStyle w:val="Heading2"/>
        <w:spacing w:after="110" w:before="300"/>
      </w:pPr>
      <w:r>
        <w:t xml:space="preserve">4.2 Policy statements</w:t>
      </w:r>
    </w:p>
    <w:p>
      <w:pPr>
        <w:pBdr>
          <w:left w:val="single" w:color="1F4E79" w:sz="14" w:space="8"/>
        </w:pBdr>
        <w:shd w:fill="F4F6F8" w:val="clear"/>
        <w:spacing w:after="0" w:before="100" w:line="250"/>
        <w:ind w:left="220" w:right="120"/>
      </w:pPr>
      <w:r>
        <w:rPr>
          <w:rFonts w:ascii="Consolas" w:cs="Consolas" w:eastAsia="Consolas" w:hAnsi="Consolas"/>
          <w:sz w:val="17"/>
          <w:szCs w:val="17"/>
        </w:rPr>
        <w:t xml:space="preserve">-- policy: pol-acme-resource-principal</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allow dynamic-group dg-acme-adw to use generative-ai-family in compartment &lt;your-compartment&gt;</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allow dynamic-group dg-acme-adw to manage genai-agent-family in compartment &lt;your-compartment&gt;</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allow dynamic-group dg-acme-adw to read object-family in compartment &lt;your-compartment&gt;</w:t>
      </w:r>
    </w:p>
    <w:p>
      <w:pPr>
        <w:pBdr>
          <w:left w:val="single" w:color="1F4E79" w:sz="14" w:space="8"/>
        </w:pBdr>
        <w:shd w:fill="F4F6F8" w:val="clear"/>
        <w:spacing w:after="160" w:before="0" w:line="250"/>
        <w:ind w:left="220" w:right="120"/>
      </w:pPr>
      <w:r>
        <w:rPr>
          <w:rFonts w:ascii="Consolas" w:cs="Consolas" w:eastAsia="Consolas" w:hAnsi="Consolas"/>
          <w:sz w:val="17"/>
          <w:szCs w:val="17"/>
        </w:rPr>
        <w:t xml:space="preserve">allow dynamic-group dg-acme-adw to read secret-bundles in compartment &lt;your-compartment&gt;</w:t>
      </w:r>
    </w:p>
    <w:p>
      <w:pPr>
        <w:spacing w:after="140"/>
        <w:jc w:val="both"/>
      </w:pPr>
      <w:r>
        <w:rPr>
          <w:sz w:val="21"/>
          <w:szCs w:val="21"/>
        </w:rPr>
        <w:t xml:space="preserve">The secret-bundles statement is what lets the database read its own passwords out of Vault at run time. Without it the OML token exchange in section 9 cannot work.</w:t>
      </w:r>
    </w:p>
    <w:p>
      <w:pPr>
        <w:pStyle w:val="Heading2"/>
        <w:spacing w:after="110" w:before="300"/>
      </w:pPr>
      <w:r>
        <w:t xml:space="preserve">4.3 Enable the Resource Principal</w:t>
      </w:r>
    </w:p>
    <w:p>
      <w:pPr>
        <w:pBdr>
          <w:left w:val="single" w:color="1F4E79" w:sz="14" w:space="8"/>
        </w:pBdr>
        <w:shd w:fill="F4F6F8" w:val="clear"/>
        <w:spacing w:after="0" w:before="100" w:line="250"/>
        <w:ind w:left="220" w:right="120"/>
      </w:pPr>
      <w:r>
        <w:rPr>
          <w:rFonts w:ascii="Consolas" w:cs="Consolas" w:eastAsia="Consolas" w:hAnsi="Consolas"/>
          <w:sz w:val="17"/>
          <w:szCs w:val="17"/>
        </w:rPr>
        <w:t xml:space="preserve">BEGIN</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DBMS_CLOUD_ADMIN.ENABLE_RESOURCE_PRINCIPAL(username =&gt; 'ACME_CORP');</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END;</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confirm</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SELECT owner, credential_name FROM dba_credentials</w:t>
      </w:r>
    </w:p>
    <w:p>
      <w:pPr>
        <w:pBdr>
          <w:left w:val="single" w:color="1F4E79" w:sz="14" w:space="8"/>
        </w:pBdr>
        <w:shd w:fill="F4F6F8" w:val="clear"/>
        <w:spacing w:after="160" w:before="0" w:line="250"/>
        <w:ind w:left="220" w:right="120"/>
      </w:pPr>
      <w:r>
        <w:rPr>
          <w:rFonts w:ascii="Consolas" w:cs="Consolas" w:eastAsia="Consolas" w:hAnsi="Consolas"/>
          <w:sz w:val="17"/>
          <w:szCs w:val="17"/>
        </w:rPr>
        <w:t xml:space="preserve"> WHERE credential_name = 'OCI$RESOURCE_PRINCIPAL';</w:t>
      </w:r>
    </w:p>
    <w:p>
      <w:pPr>
        <w:pStyle w:val="Heading1"/>
        <w:spacing w:after="150" w:before="400"/>
      </w:pPr>
      <w:r>
        <w:t xml:space="preserve">5. Phase 2 — Database setup (GenAI Agent)</w:t>
      </w:r>
    </w:p>
    <w:p>
      <w:pPr>
        <w:pStyle w:val="Heading2"/>
        <w:spacing w:after="110" w:before="300"/>
      </w:pPr>
      <w:r>
        <w:t xml:space="preserve">5.1 Grant privileges to the agent schema</w:t>
      </w:r>
    </w:p>
    <w:p>
      <w:pPr>
        <w:pBdr>
          <w:left w:val="single" w:color="1F4E79" w:sz="14" w:space="8"/>
        </w:pBdr>
        <w:shd w:fill="F4F6F8" w:val="clear"/>
        <w:spacing w:after="0" w:before="100" w:line="250"/>
        <w:ind w:left="220" w:right="120"/>
      </w:pPr>
      <w:r>
        <w:rPr>
          <w:rFonts w:ascii="Consolas" w:cs="Consolas" w:eastAsia="Consolas" w:hAnsi="Consolas"/>
          <w:sz w:val="17"/>
          <w:szCs w:val="17"/>
        </w:rPr>
        <w:t xml:space="preserve">GRANT EXECUTE ON DBMS_CLOUD       TO acme_corp;</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GRANT EXECUTE ON DBMS_CLOUD_AI    TO acme_corp;</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GRANT EXECUTE ON DBMS_CLOUD_ADMIN TO acme_corp;</w:t>
      </w:r>
    </w:p>
    <w:p>
      <w:pPr>
        <w:pBdr>
          <w:left w:val="single" w:color="1F4E79" w:sz="14" w:space="8"/>
        </w:pBdr>
        <w:shd w:fill="F4F6F8" w:val="clear"/>
        <w:spacing w:after="160" w:before="0" w:line="250"/>
        <w:ind w:left="220" w:right="120"/>
      </w:pPr>
      <w:r>
        <w:rPr>
          <w:rFonts w:ascii="Consolas" w:cs="Consolas" w:eastAsia="Consolas" w:hAnsi="Consolas"/>
          <w:sz w:val="17"/>
          <w:szCs w:val="17"/>
        </w:rPr>
        <w:t xml:space="preserve">GRANT EXECUTE ON DBMS_CLOUD_AI_AGENT TO acme_corp;</w:t>
      </w:r>
    </w:p>
    <w:p>
      <w:pPr>
        <w:pBdr>
          <w:top w:val="single" w:color="C87F0A" w:sz="4" w:space="7"/>
          <w:bottom w:val="single" w:color="C87F0A" w:sz="4" w:space="7"/>
          <w:left w:val="single" w:color="C87F0A" w:sz="20" w:space="9"/>
          <w:right w:val="single" w:color="C87F0A" w:sz="4" w:space="7"/>
        </w:pBdr>
        <w:shd w:fill="FDF3E3" w:val="clear"/>
        <w:spacing w:after="180" w:before="120"/>
        <w:ind w:left="170" w:right="170"/>
      </w:pPr>
      <w:r>
        <w:rPr>
          <w:b/>
          <w:bCs/>
          <w:sz w:val="20"/>
          <w:szCs w:val="20"/>
        </w:rPr>
        <w:t xml:space="preserve">CAUTION   </w:t>
      </w:r>
      <w:r>
        <w:rPr>
          <w:sz w:val="20"/>
          <w:szCs w:val="20"/>
        </w:rPr>
        <w:t xml:space="preserve">DBMS_CLOUD is a public synonym for a version-suffixed package (DBMS_CLOUD$PDBCS_&lt;version&gt;, owned by C##CLOUD$SERVICE). The grant succeeds, but it lands on the versioned name — so a check that looks for the literal string 'DBMS_CLOUD' in DBA_TAB_PRIVS finds nothing and reports it missing. Verify a package grant by calling the package, not by reading the privilege views.</w:t>
      </w:r>
    </w:p>
    <w:p>
      <w:pPr>
        <w:pStyle w:val="Heading2"/>
        <w:spacing w:after="110" w:before="300"/>
      </w:pPr>
      <w:r>
        <w:t xml:space="preserve">5.2 Chat history tables</w:t>
      </w:r>
    </w:p>
    <w:p>
      <w:pPr>
        <w:pBdr>
          <w:left w:val="single" w:color="1F4E79" w:sz="14" w:space="8"/>
        </w:pBdr>
        <w:shd w:fill="F4F6F8" w:val="clear"/>
        <w:spacing w:after="0" w:before="100" w:line="250"/>
        <w:ind w:left="220" w:right="120"/>
      </w:pPr>
      <w:r>
        <w:rPr>
          <w:rFonts w:ascii="Consolas" w:cs="Consolas" w:eastAsia="Consolas" w:hAnsi="Consolas"/>
          <w:sz w:val="17"/>
          <w:szCs w:val="17"/>
        </w:rPr>
        <w:t xml:space="preserve">CREATE TABLE acme_chat_sessions (</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session_id    VARCHAR2(64) PRIMARY KEY,</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user_name     VARCHAR2(128),</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started_at    TIMESTAMP DEFAULT SYSTIMESTAMP,</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last_activity TIMESTAMP DEFAULT SYSTIMESTAMP</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CREATE TABLE acme_chat_messages (</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message_id   NUMBER GENERATED ALWAYS AS IDENTITY PRIMARY KEY,</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session_id   VARCHAR2(64) REFERENCES acme_chat_sessions(session_id),</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role         VARCHAR2(16),      -- 'user' or 'assistant'</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message_text CLOB,</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created_at   TIMESTAMP DEFAULT SYSTIMESTAMP</w:t>
      </w:r>
    </w:p>
    <w:p>
      <w:pPr>
        <w:pBdr>
          <w:left w:val="single" w:color="1F4E79" w:sz="14" w:space="8"/>
        </w:pBdr>
        <w:shd w:fill="F4F6F8" w:val="clear"/>
        <w:spacing w:after="160" w:before="0" w:line="250"/>
        <w:ind w:left="220" w:right="120"/>
      </w:pPr>
      <w:r>
        <w:rPr>
          <w:rFonts w:ascii="Consolas" w:cs="Consolas" w:eastAsia="Consolas" w:hAnsi="Consolas"/>
          <w:sz w:val="17"/>
          <w:szCs w:val="17"/>
        </w:rPr>
        <w:t xml:space="preserve">);</w:t>
      </w:r>
    </w:p>
    <w:p>
      <w:pPr>
        <w:pStyle w:val="Heading2"/>
        <w:spacing w:after="110" w:before="300"/>
      </w:pPr>
      <w:r>
        <w:t xml:space="preserve">5.3 The PL/SQL package</w:t>
      </w:r>
    </w:p>
    <w:p>
      <w:pPr>
        <w:spacing w:after="140"/>
        <w:jc w:val="both"/>
      </w:pPr>
      <w:r>
        <w:rPr>
          <w:sz w:val="21"/>
          <w:szCs w:val="21"/>
        </w:rPr>
        <w:t xml:space="preserve">acme_agent_pkg wraps the REST call so the APEX layer never handles credentials or JSON assembly. The chat function takes a session id and a message, posts to the agent endpoint using the Resource Principal, persists both sides of the exchange, and returns the answer text.</w:t>
      </w:r>
    </w:p>
    <w:p>
      <w:pPr>
        <w:pBdr>
          <w:left w:val="single" w:color="1F4E79" w:sz="14" w:space="8"/>
        </w:pBdr>
        <w:shd w:fill="F4F6F8" w:val="clear"/>
        <w:spacing w:after="0" w:before="100" w:line="250"/>
        <w:ind w:left="220" w:right="120"/>
      </w:pPr>
      <w:r>
        <w:rPr>
          <w:rFonts w:ascii="Consolas" w:cs="Consolas" w:eastAsia="Consolas" w:hAnsi="Consolas"/>
          <w:sz w:val="17"/>
          <w:szCs w:val="17"/>
        </w:rPr>
        <w:t xml:space="preserve">FUNCTION chat(p_session_id VARCHAR2, p_message VARCHAR2) RETURN CLOB IS</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v_resp  DBMS_CLOUD_TYPES.resp;</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v_body  CLOB;</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v_answer CLOB;</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BEGIN</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v_body := JSON_OBJECT('userMessage' VALUE p_message);</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v_resp := DBMS_CLOUD.SEND_REQUEST(</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credential_name =&gt; 'OCI$RESOURCE_PRINCIPAL',</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uri    =&gt; '&lt;your-agent-endpoint-url&gt;/actions/chat',</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method =&gt; 'POST',</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body   =&gt; UTL_RAW.CAST_TO_RAW(v_body));</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v_answer := JSON_VALUE(DBMS_CLOUD.GET_RESPONSE_TEXT(v_resp), '$.message.content.text');</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INSERT INTO acme_chat_messages(session_id, role, message_text)</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VALUES (p_session_id, 'user', p_message);</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INSERT INTO acme_chat_messages(session_id, role, message_text)</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VALUES (p_session_id, 'assistant', v_answer);</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COMMIT;</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RETURN v_answer;</w:t>
      </w:r>
    </w:p>
    <w:p>
      <w:pPr>
        <w:pBdr>
          <w:left w:val="single" w:color="1F4E79" w:sz="14" w:space="8"/>
        </w:pBdr>
        <w:shd w:fill="F4F6F8" w:val="clear"/>
        <w:spacing w:after="160" w:before="0" w:line="250"/>
        <w:ind w:left="220" w:right="120"/>
      </w:pPr>
      <w:r>
        <w:rPr>
          <w:rFonts w:ascii="Consolas" w:cs="Consolas" w:eastAsia="Consolas" w:hAnsi="Consolas"/>
          <w:sz w:val="17"/>
          <w:szCs w:val="17"/>
        </w:rPr>
        <w:t xml:space="preserve">END chat;</w:t>
      </w:r>
    </w:p>
    <w:p>
      <w:pPr>
        <w:pStyle w:val="Heading1"/>
        <w:spacing w:after="150" w:before="400"/>
      </w:pPr>
      <w:r>
        <w:t xml:space="preserve">6. Phase 3 — APEX build (GenAI Agent)</w:t>
      </w:r>
    </w:p>
    <w:p>
      <w:pPr>
        <w:pStyle w:val="Heading2"/>
        <w:spacing w:after="110" w:before="300"/>
      </w:pPr>
      <w:r>
        <w:t xml:space="preserve">6.1 Application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860"/>
      </w:tblGrid>
      <w:tr>
        <w:trPr>
          <w:tblHeader/>
        </w:trPr>
        <w:tc>
          <w:tcPr>
            <w:tcW w:type="dxa" w:w="900"/>
            <w:shd w:fill="DCE6F1" w:val="clear"/>
            <w:tcMar>
              <w:top w:type="dxa" w:w="70"/>
              <w:left w:type="dxa" w:w="110"/>
              <w:bottom w:type="dxa" w:w="70"/>
              <w:right w:type="dxa" w:w="110"/>
            </w:tcMar>
          </w:tcPr>
          <w:p>
            <w:pPr>
              <w:spacing w:after="0"/>
            </w:pPr>
            <w:r>
              <w:rPr>
                <w:b/>
                <w:bCs/>
                <w:sz w:val="19"/>
                <w:szCs w:val="19"/>
              </w:rPr>
              <w:t xml:space="preserve">Page</w:t>
            </w:r>
          </w:p>
        </w:tc>
        <w:tc>
          <w:tcPr>
            <w:tcW w:type="dxa" w:w="3600"/>
            <w:shd w:fill="DCE6F1" w:val="clear"/>
            <w:tcMar>
              <w:top w:type="dxa" w:w="70"/>
              <w:left w:type="dxa" w:w="110"/>
              <w:bottom w:type="dxa" w:w="70"/>
              <w:right w:type="dxa" w:w="110"/>
            </w:tcMar>
          </w:tcPr>
          <w:p>
            <w:pPr>
              <w:spacing w:after="0"/>
            </w:pPr>
            <w:r>
              <w:rPr>
                <w:b/>
                <w:bCs/>
                <w:sz w:val="19"/>
                <w:szCs w:val="19"/>
              </w:rPr>
              <w:t xml:space="preserve">Purpose</w:t>
            </w:r>
          </w:p>
        </w:tc>
        <w:tc>
          <w:tcPr>
            <w:tcW w:type="dxa" w:w="4860"/>
            <w:shd w:fill="DCE6F1" w:val="clear"/>
            <w:tcMar>
              <w:top w:type="dxa" w:w="70"/>
              <w:left w:type="dxa" w:w="110"/>
              <w:bottom w:type="dxa" w:w="70"/>
              <w:right w:type="dxa" w:w="110"/>
            </w:tcMar>
          </w:tcPr>
          <w:p>
            <w:pPr>
              <w:spacing w:after="0"/>
            </w:pPr>
            <w:r>
              <w:rPr>
                <w:b/>
                <w:bCs/>
                <w:sz w:val="19"/>
                <w:szCs w:val="19"/>
              </w:rPr>
              <w:t xml:space="preserve">Pattern</w:t>
            </w:r>
          </w:p>
        </w:tc>
      </w:tr>
      <w:tr>
        <w:tc>
          <w:tcPr>
            <w:tcW w:type="dxa" w:w="900"/>
            <w:tcMar>
              <w:top w:type="dxa" w:w="70"/>
              <w:left w:type="dxa" w:w="110"/>
              <w:bottom w:type="dxa" w:w="70"/>
              <w:right w:type="dxa" w:w="110"/>
            </w:tcMar>
          </w:tcPr>
          <w:p>
            <w:pPr>
              <w:spacing w:after="0"/>
            </w:pPr>
            <w:r>
              <w:rPr>
                <w:b w:val="false"/>
                <w:bCs w:val="false"/>
                <w:sz w:val="19"/>
                <w:szCs w:val="19"/>
              </w:rPr>
              <w:t xml:space="preserve">2</w:t>
            </w:r>
          </w:p>
        </w:tc>
        <w:tc>
          <w:tcPr>
            <w:tcW w:type="dxa" w:w="3600"/>
            <w:tcMar>
              <w:top w:type="dxa" w:w="70"/>
              <w:left w:type="dxa" w:w="110"/>
              <w:bottom w:type="dxa" w:w="70"/>
              <w:right w:type="dxa" w:w="110"/>
            </w:tcMar>
          </w:tcPr>
          <w:p>
            <w:pPr>
              <w:spacing w:after="0"/>
            </w:pPr>
            <w:r>
              <w:rPr>
                <w:b w:val="false"/>
                <w:bCs w:val="false"/>
                <w:sz w:val="19"/>
                <w:szCs w:val="19"/>
              </w:rPr>
              <w:t xml:space="preserve">Classic report chat</w:t>
            </w:r>
          </w:p>
        </w:tc>
        <w:tc>
          <w:tcPr>
            <w:tcW w:type="dxa" w:w="4860"/>
            <w:tcMar>
              <w:top w:type="dxa" w:w="70"/>
              <w:left w:type="dxa" w:w="110"/>
              <w:bottom w:type="dxa" w:w="70"/>
              <w:right w:type="dxa" w:w="110"/>
            </w:tcMar>
          </w:tcPr>
          <w:p>
            <w:pPr>
              <w:spacing w:after="0"/>
            </w:pPr>
            <w:r>
              <w:rPr>
                <w:b w:val="false"/>
                <w:bCs w:val="false"/>
                <w:sz w:val="19"/>
                <w:szCs w:val="19"/>
              </w:rPr>
              <w:t xml:space="preserve">Message list refreshed after each send</w:t>
            </w:r>
          </w:p>
        </w:tc>
      </w:tr>
      <w:tr>
        <w:tc>
          <w:tcPr>
            <w:tcW w:type="dxa" w:w="900"/>
            <w:tcMar>
              <w:top w:type="dxa" w:w="70"/>
              <w:left w:type="dxa" w:w="110"/>
              <w:bottom w:type="dxa" w:w="70"/>
              <w:right w:type="dxa" w:w="110"/>
            </w:tcMar>
          </w:tcPr>
          <w:p>
            <w:pPr>
              <w:spacing w:after="0"/>
            </w:pPr>
            <w:r>
              <w:rPr>
                <w:b w:val="false"/>
                <w:bCs w:val="false"/>
                <w:sz w:val="19"/>
                <w:szCs w:val="19"/>
              </w:rPr>
              <w:t xml:space="preserve">3</w:t>
            </w:r>
          </w:p>
        </w:tc>
        <w:tc>
          <w:tcPr>
            <w:tcW w:type="dxa" w:w="3600"/>
            <w:tcMar>
              <w:top w:type="dxa" w:w="70"/>
              <w:left w:type="dxa" w:w="110"/>
              <w:bottom w:type="dxa" w:w="70"/>
              <w:right w:type="dxa" w:w="110"/>
            </w:tcMar>
          </w:tcPr>
          <w:p>
            <w:pPr>
              <w:spacing w:after="0"/>
            </w:pPr>
            <w:r>
              <w:rPr>
                <w:b w:val="false"/>
                <w:bCs w:val="false"/>
                <w:sz w:val="19"/>
                <w:szCs w:val="19"/>
              </w:rPr>
              <w:t xml:space="preserve">Full-screen bubble chat</w:t>
            </w:r>
          </w:p>
        </w:tc>
        <w:tc>
          <w:tcPr>
            <w:tcW w:type="dxa" w:w="4860"/>
            <w:tcMar>
              <w:top w:type="dxa" w:w="70"/>
              <w:left w:type="dxa" w:w="110"/>
              <w:bottom w:type="dxa" w:w="70"/>
              <w:right w:type="dxa" w:w="110"/>
            </w:tcMar>
          </w:tcPr>
          <w:p>
            <w:pPr>
              <w:spacing w:after="0"/>
            </w:pPr>
            <w:r>
              <w:rPr>
                <w:b w:val="false"/>
                <w:bCs w:val="false"/>
                <w:sz w:val="19"/>
                <w:szCs w:val="19"/>
              </w:rPr>
              <w:t xml:space="preserve">JavaScript object manages the DOM; PL/SQL returns JSON</w:t>
            </w:r>
          </w:p>
        </w:tc>
      </w:tr>
      <w:tr>
        <w:tc>
          <w:tcPr>
            <w:tcW w:type="dxa" w:w="900"/>
            <w:tcMar>
              <w:top w:type="dxa" w:w="70"/>
              <w:left w:type="dxa" w:w="110"/>
              <w:bottom w:type="dxa" w:w="70"/>
              <w:right w:type="dxa" w:w="110"/>
            </w:tcMar>
          </w:tcPr>
          <w:p>
            <w:pPr>
              <w:spacing w:after="0"/>
            </w:pPr>
            <w:r>
              <w:rPr>
                <w:b w:val="false"/>
                <w:bCs w:val="false"/>
                <w:sz w:val="19"/>
                <w:szCs w:val="19"/>
              </w:rPr>
              <w:t xml:space="preserve">4</w:t>
            </w:r>
          </w:p>
        </w:tc>
        <w:tc>
          <w:tcPr>
            <w:tcW w:type="dxa" w:w="3600"/>
            <w:tcMar>
              <w:top w:type="dxa" w:w="70"/>
              <w:left w:type="dxa" w:w="110"/>
              <w:bottom w:type="dxa" w:w="70"/>
              <w:right w:type="dxa" w:w="110"/>
            </w:tcMar>
          </w:tcPr>
          <w:p>
            <w:pPr>
              <w:spacing w:after="0"/>
            </w:pPr>
            <w:r>
              <w:rPr>
                <w:b w:val="false"/>
                <w:bCs w:val="false"/>
                <w:sz w:val="19"/>
                <w:szCs w:val="19"/>
              </w:rPr>
              <w:t xml:space="preserve">Select AI chat</w:t>
            </w:r>
          </w:p>
        </w:tc>
        <w:tc>
          <w:tcPr>
            <w:tcW w:type="dxa" w:w="4860"/>
            <w:tcMar>
              <w:top w:type="dxa" w:w="70"/>
              <w:left w:type="dxa" w:w="110"/>
              <w:bottom w:type="dxa" w:w="70"/>
              <w:right w:type="dxa" w:w="110"/>
            </w:tcMar>
          </w:tcPr>
          <w:p>
            <w:pPr>
              <w:spacing w:after="0"/>
            </w:pPr>
            <w:r>
              <w:rPr>
                <w:b w:val="false"/>
                <w:bCs w:val="false"/>
                <w:sz w:val="19"/>
                <w:szCs w:val="19"/>
              </w:rPr>
              <w:t xml:space="preserve">Same UI as page 3, different back end (section 8)</w:t>
            </w:r>
          </w:p>
        </w:tc>
      </w:tr>
    </w:tbl>
    <w:p>
      <w:pPr>
        <w:pStyle w:val="Heading2"/>
        <w:spacing w:after="110" w:before="300"/>
      </w:pPr>
      <w:r>
        <w:t xml:space="preserve">6.2 Page 2 — classic report</w:t>
      </w:r>
    </w:p>
    <w:p>
      <w:pPr>
        <w:spacing w:after="140"/>
        <w:jc w:val="both"/>
      </w:pPr>
      <w:r>
        <w:rPr>
          <w:sz w:val="21"/>
          <w:szCs w:val="21"/>
        </w:rPr>
        <w:t xml:space="preserve">The simplest usable pattern. A text field, a Send button with a Dynamic Action, an AJAX callback that calls the package, and a report region over ACME_CHAT_MESSAGES refreshed on success.</w:t>
      </w:r>
    </w:p>
    <w:p>
      <w:pPr>
        <w:pBdr>
          <w:left w:val="single" w:color="1F4E79" w:sz="14" w:space="8"/>
        </w:pBdr>
        <w:shd w:fill="F4F6F8" w:val="clear"/>
        <w:spacing w:after="0" w:before="100" w:line="250"/>
        <w:ind w:left="220" w:right="120"/>
      </w:pPr>
      <w:r>
        <w:rPr>
          <w:rFonts w:ascii="Consolas" w:cs="Consolas" w:eastAsia="Consolas" w:hAnsi="Consolas"/>
          <w:sz w:val="17"/>
          <w:szCs w:val="17"/>
        </w:rPr>
        <w:t xml:space="preserve">-- AJAX Callback: SEND_MESSAGE</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DECLARE</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v_answer CLOB;</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BEGIN</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v_answer := acme_agent_pkg.chat(:P2_SESSION_ID, :P2_MESSAGE);</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APEX_JSON.open_object;</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APEX_JSON.write('answer', v_answer);</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APEX_JSON.close_object;</w:t>
      </w:r>
    </w:p>
    <w:p>
      <w:pPr>
        <w:pBdr>
          <w:left w:val="single" w:color="1F4E79" w:sz="14" w:space="8"/>
        </w:pBdr>
        <w:shd w:fill="F4F6F8" w:val="clear"/>
        <w:spacing w:after="160" w:before="0" w:line="250"/>
        <w:ind w:left="220" w:right="120"/>
      </w:pPr>
      <w:r>
        <w:rPr>
          <w:rFonts w:ascii="Consolas" w:cs="Consolas" w:eastAsia="Consolas" w:hAnsi="Consolas"/>
          <w:sz w:val="17"/>
          <w:szCs w:val="17"/>
        </w:rPr>
        <w:t xml:space="preserve">END;</w:t>
      </w:r>
    </w:p>
    <w:p>
      <w:pPr>
        <w:pStyle w:val="Heading2"/>
        <w:spacing w:after="110" w:before="300"/>
      </w:pPr>
      <w:r>
        <w:t xml:space="preserve">6.3 Page 3 — bubble chat</w:t>
      </w:r>
    </w:p>
    <w:p>
      <w:pPr>
        <w:spacing w:after="140"/>
        <w:jc w:val="both"/>
      </w:pPr>
      <w:r>
        <w:rPr>
          <w:sz w:val="21"/>
          <w:szCs w:val="21"/>
        </w:rPr>
        <w:t xml:space="preserve">A single JavaScript object owns the conversation view: it appends the user bubble immediately, shows a typing indicator, posts to the same callback, then replaces the indicator with the answer. Keeping all DOM work in one object is what makes the error handling in section 9.9 possible.</w:t>
      </w:r>
    </w:p>
    <w:p>
      <w:pPr>
        <w:pBdr>
          <w:left w:val="single" w:color="1F4E79" w:sz="14" w:space="8"/>
        </w:pBdr>
        <w:shd w:fill="F4F6F8" w:val="clear"/>
        <w:spacing w:after="0" w:before="100" w:line="250"/>
        <w:ind w:left="220" w:right="120"/>
      </w:pPr>
      <w:r>
        <w:rPr>
          <w:rFonts w:ascii="Consolas" w:cs="Consolas" w:eastAsia="Consolas" w:hAnsi="Consolas"/>
          <w:sz w:val="17"/>
          <w:szCs w:val="17"/>
        </w:rPr>
        <w:t xml:space="preserve">const ACMEChat = {</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send() {</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const msg = document.getElementById('P3_MESSAGE').value.trim();</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if (!msg) return;</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this.append('user', msg);</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this.typing(true);</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apex.server.process('SEND_MESSAGE', {x01: msg}, {</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success: d =&gt; { this.typing(false); this.append('assistant', d.answer); },</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error:   () =&gt; { this.typing(false); this.append('error', 'Request failed.'); }</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w:t>
      </w:r>
    </w:p>
    <w:p>
      <w:pPr>
        <w:pBdr>
          <w:left w:val="single" w:color="1F4E79" w:sz="14" w:space="8"/>
        </w:pBdr>
        <w:shd w:fill="F4F6F8" w:val="clear"/>
        <w:spacing w:after="160" w:before="0" w:line="250"/>
        <w:ind w:left="220" w:right="120"/>
      </w:pPr>
      <w:r>
        <w:rPr>
          <w:rFonts w:ascii="Consolas" w:cs="Consolas" w:eastAsia="Consolas" w:hAnsi="Consolas"/>
          <w:sz w:val="17"/>
          <w:szCs w:val="17"/>
        </w:rPr>
        <w:t xml:space="preserve">};</w:t>
      </w:r>
    </w:p>
    <w:p>
      <w:pPr>
        <w:pStyle w:val="Heading1"/>
        <w:spacing w:after="150" w:before="400"/>
      </w:pPr>
      <w:r>
        <w:t xml:space="preserve">7. Troubleshooting the GenAI Agent build</w:t>
      </w:r>
    </w:p>
    <w:p>
      <w:pPr>
        <w:pStyle w:val="Heading2"/>
        <w:spacing w:after="110" w:before="300"/>
      </w:pPr>
      <w:r>
        <w:t xml:space="preserve">7.1 Common errors and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260"/>
      </w:tblGrid>
      <w:tr>
        <w:trPr>
          <w:tblHeader/>
        </w:trPr>
        <w:tc>
          <w:tcPr>
            <w:tcW w:type="dxa" w:w="2200"/>
            <w:shd w:fill="DCE6F1" w:val="clear"/>
            <w:tcMar>
              <w:top w:type="dxa" w:w="70"/>
              <w:left w:type="dxa" w:w="110"/>
              <w:bottom w:type="dxa" w:w="70"/>
              <w:right w:type="dxa" w:w="110"/>
            </w:tcMar>
          </w:tcPr>
          <w:p>
            <w:pPr>
              <w:spacing w:after="0"/>
            </w:pPr>
            <w:r>
              <w:rPr>
                <w:b/>
                <w:bCs/>
                <w:sz w:val="19"/>
                <w:szCs w:val="19"/>
              </w:rPr>
              <w:t xml:space="preserve">Symptom</w:t>
            </w:r>
          </w:p>
        </w:tc>
        <w:tc>
          <w:tcPr>
            <w:tcW w:type="dxa" w:w="2900"/>
            <w:shd w:fill="DCE6F1" w:val="clear"/>
            <w:tcMar>
              <w:top w:type="dxa" w:w="70"/>
              <w:left w:type="dxa" w:w="110"/>
              <w:bottom w:type="dxa" w:w="70"/>
              <w:right w:type="dxa" w:w="110"/>
            </w:tcMar>
          </w:tcPr>
          <w:p>
            <w:pPr>
              <w:spacing w:after="0"/>
            </w:pPr>
            <w:r>
              <w:rPr>
                <w:b/>
                <w:bCs/>
                <w:sz w:val="19"/>
                <w:szCs w:val="19"/>
              </w:rPr>
              <w:t xml:space="preserve">Root cause</w:t>
            </w:r>
          </w:p>
        </w:tc>
        <w:tc>
          <w:tcPr>
            <w:tcW w:type="dxa" w:w="4260"/>
            <w:shd w:fill="DCE6F1" w:val="clear"/>
            <w:tcMar>
              <w:top w:type="dxa" w:w="70"/>
              <w:left w:type="dxa" w:w="110"/>
              <w:bottom w:type="dxa" w:w="70"/>
              <w:right w:type="dxa" w:w="110"/>
            </w:tcMar>
          </w:tcPr>
          <w:p>
            <w:pPr>
              <w:spacing w:after="0"/>
            </w:pPr>
            <w:r>
              <w:rPr>
                <w:b/>
                <w:bCs/>
                <w:sz w:val="19"/>
                <w:szCs w:val="19"/>
              </w:rPr>
              <w:t xml:space="preserve">Fix</w:t>
            </w:r>
          </w:p>
        </w:tc>
      </w:tr>
      <w:tr>
        <w:tc>
          <w:tcPr>
            <w:tcW w:type="dxa" w:w="2200"/>
            <w:tcMar>
              <w:top w:type="dxa" w:w="70"/>
              <w:left w:type="dxa" w:w="110"/>
              <w:bottom w:type="dxa" w:w="70"/>
              <w:right w:type="dxa" w:w="110"/>
            </w:tcMar>
          </w:tcPr>
          <w:p>
            <w:pPr>
              <w:spacing w:after="0"/>
            </w:pPr>
            <w:r>
              <w:rPr>
                <w:b w:val="false"/>
                <w:bCs w:val="false"/>
                <w:sz w:val="19"/>
                <w:szCs w:val="19"/>
              </w:rPr>
              <w:t xml:space="preserve">ORA-20404 Object not found</w:t>
            </w:r>
          </w:p>
        </w:tc>
        <w:tc>
          <w:tcPr>
            <w:tcW w:type="dxa" w:w="2900"/>
            <w:tcMar>
              <w:top w:type="dxa" w:w="70"/>
              <w:left w:type="dxa" w:w="110"/>
              <w:bottom w:type="dxa" w:w="70"/>
              <w:right w:type="dxa" w:w="110"/>
            </w:tcMar>
          </w:tcPr>
          <w:p>
            <w:pPr>
              <w:spacing w:after="0"/>
            </w:pPr>
            <w:r>
              <w:rPr>
                <w:b w:val="false"/>
                <w:bCs w:val="false"/>
                <w:sz w:val="19"/>
                <w:szCs w:val="19"/>
              </w:rPr>
              <w:t xml:space="preserve">Endpoint URL wrong or agent not yet active</w:t>
            </w:r>
          </w:p>
        </w:tc>
        <w:tc>
          <w:tcPr>
            <w:tcW w:type="dxa" w:w="4260"/>
            <w:tcMar>
              <w:top w:type="dxa" w:w="70"/>
              <w:left w:type="dxa" w:w="110"/>
              <w:bottom w:type="dxa" w:w="70"/>
              <w:right w:type="dxa" w:w="110"/>
            </w:tcMar>
          </w:tcPr>
          <w:p>
            <w:pPr>
              <w:spacing w:after="0"/>
            </w:pPr>
            <w:r>
              <w:rPr>
                <w:b w:val="false"/>
                <w:bCs w:val="false"/>
                <w:sz w:val="19"/>
                <w:szCs w:val="19"/>
              </w:rPr>
              <w:t xml:space="preserve">Confirm the endpoint is ACTIVE and the URL has no trailing slash</w:t>
            </w:r>
          </w:p>
        </w:tc>
      </w:tr>
      <w:tr>
        <w:tc>
          <w:tcPr>
            <w:tcW w:type="dxa" w:w="2200"/>
            <w:tcMar>
              <w:top w:type="dxa" w:w="70"/>
              <w:left w:type="dxa" w:w="110"/>
              <w:bottom w:type="dxa" w:w="70"/>
              <w:right w:type="dxa" w:w="110"/>
            </w:tcMar>
          </w:tcPr>
          <w:p>
            <w:pPr>
              <w:spacing w:after="0"/>
            </w:pPr>
            <w:r>
              <w:rPr>
                <w:b w:val="false"/>
                <w:bCs w:val="false"/>
                <w:sz w:val="19"/>
                <w:szCs w:val="19"/>
              </w:rPr>
              <w:t xml:space="preserve">ORA-24247 network access denied</w:t>
            </w:r>
          </w:p>
        </w:tc>
        <w:tc>
          <w:tcPr>
            <w:tcW w:type="dxa" w:w="2900"/>
            <w:tcMar>
              <w:top w:type="dxa" w:w="70"/>
              <w:left w:type="dxa" w:w="110"/>
              <w:bottom w:type="dxa" w:w="70"/>
              <w:right w:type="dxa" w:w="110"/>
            </w:tcMar>
          </w:tcPr>
          <w:p>
            <w:pPr>
              <w:spacing w:after="0"/>
            </w:pPr>
            <w:r>
              <w:rPr>
                <w:b w:val="false"/>
                <w:bCs w:val="false"/>
                <w:sz w:val="19"/>
                <w:szCs w:val="19"/>
              </w:rPr>
              <w:t xml:space="preserve">No ACL for the endpoint host</w:t>
            </w:r>
          </w:p>
        </w:tc>
        <w:tc>
          <w:tcPr>
            <w:tcW w:type="dxa" w:w="4260"/>
            <w:tcMar>
              <w:top w:type="dxa" w:w="70"/>
              <w:left w:type="dxa" w:w="110"/>
              <w:bottom w:type="dxa" w:w="70"/>
              <w:right w:type="dxa" w:w="110"/>
            </w:tcMar>
          </w:tcPr>
          <w:p>
            <w:pPr>
              <w:spacing w:after="0"/>
            </w:pPr>
            <w:r>
              <w:rPr>
                <w:b w:val="false"/>
                <w:bCs w:val="false"/>
                <w:sz w:val="19"/>
                <w:szCs w:val="19"/>
              </w:rPr>
              <w:t xml:space="preserve">Append a host ACE for the endpoint hostname</w:t>
            </w:r>
          </w:p>
        </w:tc>
      </w:tr>
      <w:tr>
        <w:tc>
          <w:tcPr>
            <w:tcW w:type="dxa" w:w="2200"/>
            <w:tcMar>
              <w:top w:type="dxa" w:w="70"/>
              <w:left w:type="dxa" w:w="110"/>
              <w:bottom w:type="dxa" w:w="70"/>
              <w:right w:type="dxa" w:w="110"/>
            </w:tcMar>
          </w:tcPr>
          <w:p>
            <w:pPr>
              <w:spacing w:after="0"/>
            </w:pPr>
            <w:r>
              <w:rPr>
                <w:b w:val="false"/>
                <w:bCs w:val="false"/>
                <w:sz w:val="19"/>
                <w:szCs w:val="19"/>
              </w:rPr>
              <w:t xml:space="preserve">401 or 403 from the endpoint</w:t>
            </w:r>
          </w:p>
        </w:tc>
        <w:tc>
          <w:tcPr>
            <w:tcW w:type="dxa" w:w="2900"/>
            <w:tcMar>
              <w:top w:type="dxa" w:w="70"/>
              <w:left w:type="dxa" w:w="110"/>
              <w:bottom w:type="dxa" w:w="70"/>
              <w:right w:type="dxa" w:w="110"/>
            </w:tcMar>
          </w:tcPr>
          <w:p>
            <w:pPr>
              <w:spacing w:after="0"/>
            </w:pPr>
            <w:r>
              <w:rPr>
                <w:b w:val="false"/>
                <w:bCs w:val="false"/>
                <w:sz w:val="19"/>
                <w:szCs w:val="19"/>
              </w:rPr>
              <w:t xml:space="preserve">Dynamic group or policy does not match this database</w:t>
            </w:r>
          </w:p>
        </w:tc>
        <w:tc>
          <w:tcPr>
            <w:tcW w:type="dxa" w:w="4260"/>
            <w:tcMar>
              <w:top w:type="dxa" w:w="70"/>
              <w:left w:type="dxa" w:w="110"/>
              <w:bottom w:type="dxa" w:w="70"/>
              <w:right w:type="dxa" w:w="110"/>
            </w:tcMar>
          </w:tcPr>
          <w:p>
            <w:pPr>
              <w:spacing w:after="0"/>
            </w:pPr>
            <w:r>
              <w:rPr>
                <w:b w:val="false"/>
                <w:bCs w:val="false"/>
                <w:sz w:val="19"/>
                <w:szCs w:val="19"/>
              </w:rPr>
              <w:t xml:space="preserve">Confirm resource.id matches the ADB OCID exactly</w:t>
            </w:r>
          </w:p>
        </w:tc>
      </w:tr>
      <w:tr>
        <w:tc>
          <w:tcPr>
            <w:tcW w:type="dxa" w:w="2200"/>
            <w:tcMar>
              <w:top w:type="dxa" w:w="70"/>
              <w:left w:type="dxa" w:w="110"/>
              <w:bottom w:type="dxa" w:w="70"/>
              <w:right w:type="dxa" w:w="110"/>
            </w:tcMar>
          </w:tcPr>
          <w:p>
            <w:pPr>
              <w:spacing w:after="0"/>
            </w:pPr>
            <w:r>
              <w:rPr>
                <w:b w:val="false"/>
                <w:bCs w:val="false"/>
                <w:sz w:val="19"/>
                <w:szCs w:val="19"/>
              </w:rPr>
              <w:t xml:space="preserve">Empty answer, no error</w:t>
            </w:r>
          </w:p>
        </w:tc>
        <w:tc>
          <w:tcPr>
            <w:tcW w:type="dxa" w:w="2900"/>
            <w:tcMar>
              <w:top w:type="dxa" w:w="70"/>
              <w:left w:type="dxa" w:w="110"/>
              <w:bottom w:type="dxa" w:w="70"/>
              <w:right w:type="dxa" w:w="110"/>
            </w:tcMar>
          </w:tcPr>
          <w:p>
            <w:pPr>
              <w:spacing w:after="0"/>
            </w:pPr>
            <w:r>
              <w:rPr>
                <w:b w:val="false"/>
                <w:bCs w:val="false"/>
                <w:sz w:val="19"/>
                <w:szCs w:val="19"/>
              </w:rPr>
              <w:t xml:space="preserve">Knowledge base indexed zero documents</w:t>
            </w:r>
          </w:p>
        </w:tc>
        <w:tc>
          <w:tcPr>
            <w:tcW w:type="dxa" w:w="4260"/>
            <w:tcMar>
              <w:top w:type="dxa" w:w="70"/>
              <w:left w:type="dxa" w:w="110"/>
              <w:bottom w:type="dxa" w:w="70"/>
              <w:right w:type="dxa" w:w="110"/>
            </w:tcMar>
          </w:tcPr>
          <w:p>
            <w:pPr>
              <w:spacing w:after="0"/>
            </w:pPr>
            <w:r>
              <w:rPr>
                <w:b w:val="false"/>
                <w:bCs w:val="false"/>
                <w:sz w:val="19"/>
                <w:szCs w:val="19"/>
              </w:rPr>
              <w:t xml:space="preserve">Re-run ingestion and confirm the document count</w:t>
            </w:r>
          </w:p>
        </w:tc>
      </w:tr>
      <w:tr>
        <w:tc>
          <w:tcPr>
            <w:tcW w:type="dxa" w:w="2200"/>
            <w:tcMar>
              <w:top w:type="dxa" w:w="70"/>
              <w:left w:type="dxa" w:w="110"/>
              <w:bottom w:type="dxa" w:w="70"/>
              <w:right w:type="dxa" w:w="110"/>
            </w:tcMar>
          </w:tcPr>
          <w:p>
            <w:pPr>
              <w:spacing w:after="0"/>
            </w:pPr>
            <w:r>
              <w:rPr>
                <w:b w:val="false"/>
                <w:bCs w:val="false"/>
                <w:sz w:val="19"/>
                <w:szCs w:val="19"/>
              </w:rPr>
              <w:t xml:space="preserve">Citations missing</w:t>
            </w:r>
          </w:p>
        </w:tc>
        <w:tc>
          <w:tcPr>
            <w:tcW w:type="dxa" w:w="2900"/>
            <w:tcMar>
              <w:top w:type="dxa" w:w="70"/>
              <w:left w:type="dxa" w:w="110"/>
              <w:bottom w:type="dxa" w:w="70"/>
              <w:right w:type="dxa" w:w="110"/>
            </w:tcMar>
          </w:tcPr>
          <w:p>
            <w:pPr>
              <w:spacing w:after="0"/>
            </w:pPr>
            <w:r>
              <w:rPr>
                <w:b w:val="false"/>
                <w:bCs w:val="false"/>
                <w:sz w:val="19"/>
                <w:szCs w:val="19"/>
              </w:rPr>
              <w:t xml:space="preserve">Data source indexed but the prefix is wrong</w:t>
            </w:r>
          </w:p>
        </w:tc>
        <w:tc>
          <w:tcPr>
            <w:tcW w:type="dxa" w:w="4260"/>
            <w:tcMar>
              <w:top w:type="dxa" w:w="70"/>
              <w:left w:type="dxa" w:w="110"/>
              <w:bottom w:type="dxa" w:w="70"/>
              <w:right w:type="dxa" w:w="110"/>
            </w:tcMar>
          </w:tcPr>
          <w:p>
            <w:pPr>
              <w:spacing w:after="0"/>
            </w:pPr>
            <w:r>
              <w:rPr>
                <w:b w:val="false"/>
                <w:bCs w:val="false"/>
                <w:sz w:val="19"/>
                <w:szCs w:val="19"/>
              </w:rPr>
              <w:t xml:space="preserve">Check the prefix; a missing trailing slash silently matches nothing</w:t>
            </w:r>
          </w:p>
        </w:tc>
      </w:tr>
    </w:tbl>
    <w:p>
      <w:pPr>
        <w:pStyle w:val="Heading2"/>
        <w:spacing w:after="110" w:before="300"/>
      </w:pPr>
      <w:r>
        <w:t xml:space="preserve">7.2 Verification queries</w:t>
      </w:r>
    </w:p>
    <w:p>
      <w:pPr>
        <w:pBdr>
          <w:left w:val="single" w:color="1F4E79" w:sz="14" w:space="8"/>
        </w:pBdr>
        <w:shd w:fill="F4F6F8" w:val="clear"/>
        <w:spacing w:after="0" w:before="100" w:line="250"/>
        <w:ind w:left="220" w:right="120"/>
      </w:pPr>
      <w:r>
        <w:rPr>
          <w:rFonts w:ascii="Consolas" w:cs="Consolas" w:eastAsia="Consolas" w:hAnsi="Consolas"/>
          <w:sz w:val="17"/>
          <w:szCs w:val="17"/>
        </w:rPr>
        <w:t xml:space="preserve">-- Resource Principal enabled?</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SELECT credential_name, enabled FROM dba_credentials</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WHERE credential_name = 'OCI$RESOURCE_PRINCIPAL';</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recent conversation</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SELECT role, SUBSTR(message_text,1,120) AS excerpt, created_at</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FROM acme_chat_messages</w:t>
      </w:r>
    </w:p>
    <w:p>
      <w:pPr>
        <w:pBdr>
          <w:left w:val="single" w:color="1F4E79" w:sz="14" w:space="8"/>
        </w:pBdr>
        <w:shd w:fill="F4F6F8" w:val="clear"/>
        <w:spacing w:after="160" w:before="0" w:line="250"/>
        <w:ind w:left="220" w:right="120"/>
      </w:pPr>
      <w:r>
        <w:rPr>
          <w:rFonts w:ascii="Consolas" w:cs="Consolas" w:eastAsia="Consolas" w:hAnsi="Consolas"/>
          <w:sz w:val="17"/>
          <w:szCs w:val="17"/>
        </w:rPr>
        <w:t xml:space="preserve"> ORDER BY message_id DESC FETCH FIRST 10 ROWS ONLY;</w:t>
      </w:r>
    </w:p>
    <w:p>
      <w:pPr>
        <w:pStyle w:val="Heading1"/>
        <w:spacing w:after="150" w:before="400"/>
      </w:pPr>
      <w:r>
        <w:t xml:space="preserve">8. Select AI Agent — database implementation</w:t>
      </w:r>
    </w:p>
    <w:p>
      <w:pPr>
        <w:pStyle w:val="Heading2"/>
        <w:spacing w:after="110" w:before="300"/>
      </w:pPr>
      <w:r>
        <w:t xml:space="preserve">8.1 Overview</w:t>
      </w:r>
    </w:p>
    <w:p>
      <w:pPr>
        <w:spacing w:after="140"/>
        <w:jc w:val="both"/>
      </w:pPr>
      <w:r>
        <w:rPr>
          <w:sz w:val="21"/>
          <w:szCs w:val="21"/>
        </w:rPr>
        <w:t xml:space="preserve">Everything in this section runs inside the Autonomous Database. Four object types matter, and they are created in a fixed order because each depends on the one before it: profiles, then the vector index, then tools, then the agent, its task, and the team that runs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3400"/>
        <w:gridCol w:w="3460"/>
      </w:tblGrid>
      <w:tr>
        <w:trPr>
          <w:tblHeader/>
        </w:trPr>
        <w:tc>
          <w:tcPr>
            <w:tcW w:type="dxa" w:w="800"/>
            <w:shd w:fill="DCE6F1" w:val="clear"/>
            <w:tcMar>
              <w:top w:type="dxa" w:w="70"/>
              <w:left w:type="dxa" w:w="110"/>
              <w:bottom w:type="dxa" w:w="70"/>
              <w:right w:type="dxa" w:w="110"/>
            </w:tcMar>
          </w:tcPr>
          <w:p>
            <w:pPr>
              <w:spacing w:after="0"/>
            </w:pPr>
            <w:r>
              <w:rPr>
                <w:b/>
                <w:bCs/>
                <w:sz w:val="19"/>
                <w:szCs w:val="19"/>
              </w:rPr>
              <w:t xml:space="preserve">Order</w:t>
            </w:r>
          </w:p>
        </w:tc>
        <w:tc>
          <w:tcPr>
            <w:tcW w:type="dxa" w:w="1700"/>
            <w:shd w:fill="DCE6F1" w:val="clear"/>
            <w:tcMar>
              <w:top w:type="dxa" w:w="70"/>
              <w:left w:type="dxa" w:w="110"/>
              <w:bottom w:type="dxa" w:w="70"/>
              <w:right w:type="dxa" w:w="110"/>
            </w:tcMar>
          </w:tcPr>
          <w:p>
            <w:pPr>
              <w:spacing w:after="0"/>
            </w:pPr>
            <w:r>
              <w:rPr>
                <w:b/>
                <w:bCs/>
                <w:sz w:val="19"/>
                <w:szCs w:val="19"/>
              </w:rPr>
              <w:t xml:space="preserve">Object</w:t>
            </w:r>
          </w:p>
        </w:tc>
        <w:tc>
          <w:tcPr>
            <w:tcW w:type="dxa" w:w="3400"/>
            <w:shd w:fill="DCE6F1" w:val="clear"/>
            <w:tcMar>
              <w:top w:type="dxa" w:w="70"/>
              <w:left w:type="dxa" w:w="110"/>
              <w:bottom w:type="dxa" w:w="70"/>
              <w:right w:type="dxa" w:w="110"/>
            </w:tcMar>
          </w:tcPr>
          <w:p>
            <w:pPr>
              <w:spacing w:after="0"/>
            </w:pPr>
            <w:r>
              <w:rPr>
                <w:b/>
                <w:bCs/>
                <w:sz w:val="19"/>
                <w:szCs w:val="19"/>
              </w:rPr>
              <w:t xml:space="preserve">Created with</w:t>
            </w:r>
          </w:p>
        </w:tc>
        <w:tc>
          <w:tcPr>
            <w:tcW w:type="dxa" w:w="3460"/>
            <w:shd w:fill="DCE6F1" w:val="clear"/>
            <w:tcMar>
              <w:top w:type="dxa" w:w="70"/>
              <w:left w:type="dxa" w:w="110"/>
              <w:bottom w:type="dxa" w:w="70"/>
              <w:right w:type="dxa" w:w="110"/>
            </w:tcMar>
          </w:tcPr>
          <w:p>
            <w:pPr>
              <w:spacing w:after="0"/>
            </w:pPr>
            <w:r>
              <w:rPr>
                <w:b/>
                <w:bCs/>
                <w:sz w:val="19"/>
                <w:szCs w:val="19"/>
              </w:rPr>
              <w:t xml:space="preserve">Depends on</w:t>
            </w:r>
          </w:p>
        </w:tc>
      </w:tr>
      <w:tr>
        <w:tc>
          <w:tcPr>
            <w:tcW w:type="dxa" w:w="800"/>
            <w:tcMar>
              <w:top w:type="dxa" w:w="70"/>
              <w:left w:type="dxa" w:w="110"/>
              <w:bottom w:type="dxa" w:w="70"/>
              <w:right w:type="dxa" w:w="110"/>
            </w:tcMar>
          </w:tcPr>
          <w:p>
            <w:pPr>
              <w:spacing w:after="0"/>
            </w:pPr>
            <w:r>
              <w:rPr>
                <w:b w:val="false"/>
                <w:bCs w:val="false"/>
                <w:sz w:val="19"/>
                <w:szCs w:val="19"/>
              </w:rPr>
              <w:t xml:space="preserve">1</w:t>
            </w:r>
          </w:p>
        </w:tc>
        <w:tc>
          <w:tcPr>
            <w:tcW w:type="dxa" w:w="1700"/>
            <w:tcMar>
              <w:top w:type="dxa" w:w="70"/>
              <w:left w:type="dxa" w:w="110"/>
              <w:bottom w:type="dxa" w:w="70"/>
              <w:right w:type="dxa" w:w="110"/>
            </w:tcMar>
          </w:tcPr>
          <w:p>
            <w:pPr>
              <w:spacing w:after="0"/>
            </w:pPr>
            <w:r>
              <w:rPr>
                <w:b w:val="false"/>
                <w:bCs w:val="false"/>
                <w:sz w:val="19"/>
                <w:szCs w:val="19"/>
              </w:rPr>
              <w:t xml:space="preserve">Profiles</w:t>
            </w:r>
          </w:p>
        </w:tc>
        <w:tc>
          <w:tcPr>
            <w:tcW w:type="dxa" w:w="3400"/>
            <w:tcMar>
              <w:top w:type="dxa" w:w="70"/>
              <w:left w:type="dxa" w:w="110"/>
              <w:bottom w:type="dxa" w:w="70"/>
              <w:right w:type="dxa" w:w="110"/>
            </w:tcMar>
          </w:tcPr>
          <w:p>
            <w:pPr>
              <w:spacing w:after="0"/>
            </w:pPr>
            <w:r>
              <w:rPr>
                <w:rFonts w:ascii="Consolas" w:cs="Consolas" w:eastAsia="Consolas" w:hAnsi="Consolas"/>
                <w:b w:val="false"/>
                <w:bCs w:val="false"/>
                <w:sz w:val="19"/>
                <w:szCs w:val="19"/>
              </w:rPr>
              <w:t xml:space="preserve">DBMS_CLOUD_AI.CREATE_PROFILE</w:t>
            </w:r>
          </w:p>
        </w:tc>
        <w:tc>
          <w:tcPr>
            <w:tcW w:type="dxa" w:w="3460"/>
            <w:tcMar>
              <w:top w:type="dxa" w:w="70"/>
              <w:left w:type="dxa" w:w="110"/>
              <w:bottom w:type="dxa" w:w="70"/>
              <w:right w:type="dxa" w:w="110"/>
            </w:tcMar>
          </w:tcPr>
          <w:p>
            <w:pPr>
              <w:spacing w:after="0"/>
            </w:pPr>
            <w:r>
              <w:rPr>
                <w:b w:val="false"/>
                <w:bCs w:val="false"/>
                <w:sz w:val="19"/>
                <w:szCs w:val="19"/>
              </w:rPr>
              <w:t xml:space="preserve">Resource Principal, table comments</w:t>
            </w:r>
          </w:p>
        </w:tc>
      </w:tr>
      <w:tr>
        <w:tc>
          <w:tcPr>
            <w:tcW w:type="dxa" w:w="800"/>
            <w:tcMar>
              <w:top w:type="dxa" w:w="70"/>
              <w:left w:type="dxa" w:w="110"/>
              <w:bottom w:type="dxa" w:w="70"/>
              <w:right w:type="dxa" w:w="110"/>
            </w:tcMar>
          </w:tcPr>
          <w:p>
            <w:pPr>
              <w:spacing w:after="0"/>
            </w:pPr>
            <w:r>
              <w:rPr>
                <w:b w:val="false"/>
                <w:bCs w:val="false"/>
                <w:sz w:val="19"/>
                <w:szCs w:val="19"/>
              </w:rPr>
              <w:t xml:space="preserve">2</w:t>
            </w:r>
          </w:p>
        </w:tc>
        <w:tc>
          <w:tcPr>
            <w:tcW w:type="dxa" w:w="1700"/>
            <w:tcMar>
              <w:top w:type="dxa" w:w="70"/>
              <w:left w:type="dxa" w:w="110"/>
              <w:bottom w:type="dxa" w:w="70"/>
              <w:right w:type="dxa" w:w="110"/>
            </w:tcMar>
          </w:tcPr>
          <w:p>
            <w:pPr>
              <w:spacing w:after="0"/>
            </w:pPr>
            <w:r>
              <w:rPr>
                <w:b w:val="false"/>
                <w:bCs w:val="false"/>
                <w:sz w:val="19"/>
                <w:szCs w:val="19"/>
              </w:rPr>
              <w:t xml:space="preserve">Vector index</w:t>
            </w:r>
          </w:p>
        </w:tc>
        <w:tc>
          <w:tcPr>
            <w:tcW w:type="dxa" w:w="3400"/>
            <w:tcMar>
              <w:top w:type="dxa" w:w="70"/>
              <w:left w:type="dxa" w:w="110"/>
              <w:bottom w:type="dxa" w:w="70"/>
              <w:right w:type="dxa" w:w="110"/>
            </w:tcMar>
          </w:tcPr>
          <w:p>
            <w:pPr>
              <w:spacing w:after="0"/>
            </w:pPr>
            <w:r>
              <w:rPr>
                <w:rFonts w:ascii="Consolas" w:cs="Consolas" w:eastAsia="Consolas" w:hAnsi="Consolas"/>
                <w:b w:val="false"/>
                <w:bCs w:val="false"/>
                <w:sz w:val="19"/>
                <w:szCs w:val="19"/>
              </w:rPr>
              <w:t xml:space="preserve">DBMS_CLOUD_AI.CREATE_VECTOR_INDEX</w:t>
            </w:r>
          </w:p>
        </w:tc>
        <w:tc>
          <w:tcPr>
            <w:tcW w:type="dxa" w:w="3460"/>
            <w:tcMar>
              <w:top w:type="dxa" w:w="70"/>
              <w:left w:type="dxa" w:w="110"/>
              <w:bottom w:type="dxa" w:w="70"/>
              <w:right w:type="dxa" w:w="110"/>
            </w:tcMar>
          </w:tcPr>
          <w:p>
            <w:pPr>
              <w:spacing w:after="0"/>
            </w:pPr>
            <w:r>
              <w:rPr>
                <w:b w:val="false"/>
                <w:bCs w:val="false"/>
                <w:sz w:val="19"/>
                <w:szCs w:val="19"/>
              </w:rPr>
              <w:t xml:space="preserve">RAG profile, Object Storage documents</w:t>
            </w:r>
          </w:p>
        </w:tc>
      </w:tr>
      <w:tr>
        <w:tc>
          <w:tcPr>
            <w:tcW w:type="dxa" w:w="800"/>
            <w:tcMar>
              <w:top w:type="dxa" w:w="70"/>
              <w:left w:type="dxa" w:w="110"/>
              <w:bottom w:type="dxa" w:w="70"/>
              <w:right w:type="dxa" w:w="110"/>
            </w:tcMar>
          </w:tcPr>
          <w:p>
            <w:pPr>
              <w:spacing w:after="0"/>
            </w:pPr>
            <w:r>
              <w:rPr>
                <w:b w:val="false"/>
                <w:bCs w:val="false"/>
                <w:sz w:val="19"/>
                <w:szCs w:val="19"/>
              </w:rPr>
              <w:t xml:space="preserve">3</w:t>
            </w:r>
          </w:p>
        </w:tc>
        <w:tc>
          <w:tcPr>
            <w:tcW w:type="dxa" w:w="1700"/>
            <w:tcMar>
              <w:top w:type="dxa" w:w="70"/>
              <w:left w:type="dxa" w:w="110"/>
              <w:bottom w:type="dxa" w:w="70"/>
              <w:right w:type="dxa" w:w="110"/>
            </w:tcMar>
          </w:tcPr>
          <w:p>
            <w:pPr>
              <w:spacing w:after="0"/>
            </w:pPr>
            <w:r>
              <w:rPr>
                <w:b w:val="false"/>
                <w:bCs w:val="false"/>
                <w:sz w:val="19"/>
                <w:szCs w:val="19"/>
              </w:rPr>
              <w:t xml:space="preserve">Tools</w:t>
            </w:r>
          </w:p>
        </w:tc>
        <w:tc>
          <w:tcPr>
            <w:tcW w:type="dxa" w:w="3400"/>
            <w:tcMar>
              <w:top w:type="dxa" w:w="70"/>
              <w:left w:type="dxa" w:w="110"/>
              <w:bottom w:type="dxa" w:w="70"/>
              <w:right w:type="dxa" w:w="110"/>
            </w:tcMar>
          </w:tcPr>
          <w:p>
            <w:pPr>
              <w:spacing w:after="0"/>
            </w:pPr>
            <w:r>
              <w:rPr>
                <w:rFonts w:ascii="Consolas" w:cs="Consolas" w:eastAsia="Consolas" w:hAnsi="Consolas"/>
                <w:b w:val="false"/>
                <w:bCs w:val="false"/>
                <w:sz w:val="19"/>
                <w:szCs w:val="19"/>
              </w:rPr>
              <w:t xml:space="preserve">DBMS_CLOUD_AI_AGENT.CREATE_TOOL</w:t>
            </w:r>
          </w:p>
        </w:tc>
        <w:tc>
          <w:tcPr>
            <w:tcW w:type="dxa" w:w="3460"/>
            <w:tcMar>
              <w:top w:type="dxa" w:w="70"/>
              <w:left w:type="dxa" w:w="110"/>
              <w:bottom w:type="dxa" w:w="70"/>
              <w:right w:type="dxa" w:w="110"/>
            </w:tcMar>
          </w:tcPr>
          <w:p>
            <w:pPr>
              <w:spacing w:after="0"/>
            </w:pPr>
            <w:r>
              <w:rPr>
                <w:b w:val="false"/>
                <w:bCs w:val="false"/>
                <w:sz w:val="19"/>
                <w:szCs w:val="19"/>
              </w:rPr>
              <w:t xml:space="preserve">Profiles; custom functions must already exist</w:t>
            </w:r>
          </w:p>
        </w:tc>
      </w:tr>
      <w:tr>
        <w:tc>
          <w:tcPr>
            <w:tcW w:type="dxa" w:w="800"/>
            <w:tcMar>
              <w:top w:type="dxa" w:w="70"/>
              <w:left w:type="dxa" w:w="110"/>
              <w:bottom w:type="dxa" w:w="70"/>
              <w:right w:type="dxa" w:w="110"/>
            </w:tcMar>
          </w:tcPr>
          <w:p>
            <w:pPr>
              <w:spacing w:after="0"/>
            </w:pPr>
            <w:r>
              <w:rPr>
                <w:b w:val="false"/>
                <w:bCs w:val="false"/>
                <w:sz w:val="19"/>
                <w:szCs w:val="19"/>
              </w:rPr>
              <w:t xml:space="preserve">4</w:t>
            </w:r>
          </w:p>
        </w:tc>
        <w:tc>
          <w:tcPr>
            <w:tcW w:type="dxa" w:w="1700"/>
            <w:tcMar>
              <w:top w:type="dxa" w:w="70"/>
              <w:left w:type="dxa" w:w="110"/>
              <w:bottom w:type="dxa" w:w="70"/>
              <w:right w:type="dxa" w:w="110"/>
            </w:tcMar>
          </w:tcPr>
          <w:p>
            <w:pPr>
              <w:spacing w:after="0"/>
            </w:pPr>
            <w:r>
              <w:rPr>
                <w:b w:val="false"/>
                <w:bCs w:val="false"/>
                <w:sz w:val="19"/>
                <w:szCs w:val="19"/>
              </w:rPr>
              <w:t xml:space="preserve">Agent</w:t>
            </w:r>
          </w:p>
        </w:tc>
        <w:tc>
          <w:tcPr>
            <w:tcW w:type="dxa" w:w="3400"/>
            <w:tcMar>
              <w:top w:type="dxa" w:w="70"/>
              <w:left w:type="dxa" w:w="110"/>
              <w:bottom w:type="dxa" w:w="70"/>
              <w:right w:type="dxa" w:w="110"/>
            </w:tcMar>
          </w:tcPr>
          <w:p>
            <w:pPr>
              <w:spacing w:after="0"/>
            </w:pPr>
            <w:r>
              <w:rPr>
                <w:rFonts w:ascii="Consolas" w:cs="Consolas" w:eastAsia="Consolas" w:hAnsi="Consolas"/>
                <w:b w:val="false"/>
                <w:bCs w:val="false"/>
                <w:sz w:val="19"/>
                <w:szCs w:val="19"/>
              </w:rPr>
              <w:t xml:space="preserve">DBMS_CLOUD_AI_AGENT.CREATE_AGENT</w:t>
            </w:r>
          </w:p>
        </w:tc>
        <w:tc>
          <w:tcPr>
            <w:tcW w:type="dxa" w:w="3460"/>
            <w:tcMar>
              <w:top w:type="dxa" w:w="70"/>
              <w:left w:type="dxa" w:w="110"/>
              <w:bottom w:type="dxa" w:w="70"/>
              <w:right w:type="dxa" w:w="110"/>
            </w:tcMar>
          </w:tcPr>
          <w:p>
            <w:pPr>
              <w:spacing w:after="0"/>
            </w:pPr>
            <w:r>
              <w:rPr>
                <w:b w:val="false"/>
                <w:bCs w:val="false"/>
                <w:sz w:val="19"/>
                <w:szCs w:val="19"/>
              </w:rPr>
              <w:t xml:space="preserve">All tools named in its tools array</w:t>
            </w:r>
          </w:p>
        </w:tc>
      </w:tr>
      <w:tr>
        <w:tc>
          <w:tcPr>
            <w:tcW w:type="dxa" w:w="800"/>
            <w:tcMar>
              <w:top w:type="dxa" w:w="70"/>
              <w:left w:type="dxa" w:w="110"/>
              <w:bottom w:type="dxa" w:w="70"/>
              <w:right w:type="dxa" w:w="110"/>
            </w:tcMar>
          </w:tcPr>
          <w:p>
            <w:pPr>
              <w:spacing w:after="0"/>
            </w:pPr>
            <w:r>
              <w:rPr>
                <w:b w:val="false"/>
                <w:bCs w:val="false"/>
                <w:sz w:val="19"/>
                <w:szCs w:val="19"/>
              </w:rPr>
              <w:t xml:space="preserve">5</w:t>
            </w:r>
          </w:p>
        </w:tc>
        <w:tc>
          <w:tcPr>
            <w:tcW w:type="dxa" w:w="1700"/>
            <w:tcMar>
              <w:top w:type="dxa" w:w="70"/>
              <w:left w:type="dxa" w:w="110"/>
              <w:bottom w:type="dxa" w:w="70"/>
              <w:right w:type="dxa" w:w="110"/>
            </w:tcMar>
          </w:tcPr>
          <w:p>
            <w:pPr>
              <w:spacing w:after="0"/>
            </w:pPr>
            <w:r>
              <w:rPr>
                <w:b w:val="false"/>
                <w:bCs w:val="false"/>
                <w:sz w:val="19"/>
                <w:szCs w:val="19"/>
              </w:rPr>
              <w:t xml:space="preserve">Task</w:t>
            </w:r>
          </w:p>
        </w:tc>
        <w:tc>
          <w:tcPr>
            <w:tcW w:type="dxa" w:w="3400"/>
            <w:tcMar>
              <w:top w:type="dxa" w:w="70"/>
              <w:left w:type="dxa" w:w="110"/>
              <w:bottom w:type="dxa" w:w="70"/>
              <w:right w:type="dxa" w:w="110"/>
            </w:tcMar>
          </w:tcPr>
          <w:p>
            <w:pPr>
              <w:spacing w:after="0"/>
            </w:pPr>
            <w:r>
              <w:rPr>
                <w:rFonts w:ascii="Consolas" w:cs="Consolas" w:eastAsia="Consolas" w:hAnsi="Consolas"/>
                <w:b w:val="false"/>
                <w:bCs w:val="false"/>
                <w:sz w:val="19"/>
                <w:szCs w:val="19"/>
              </w:rPr>
              <w:t xml:space="preserve">DBMS_CLOUD_AI_AGENT.CREATE_TASK</w:t>
            </w:r>
          </w:p>
        </w:tc>
        <w:tc>
          <w:tcPr>
            <w:tcW w:type="dxa" w:w="3460"/>
            <w:tcMar>
              <w:top w:type="dxa" w:w="70"/>
              <w:left w:type="dxa" w:w="110"/>
              <w:bottom w:type="dxa" w:w="70"/>
              <w:right w:type="dxa" w:w="110"/>
            </w:tcMar>
          </w:tcPr>
          <w:p>
            <w:pPr>
              <w:spacing w:after="0"/>
            </w:pPr>
            <w:r>
              <w:rPr>
                <w:b w:val="false"/>
                <w:bCs w:val="false"/>
                <w:sz w:val="19"/>
                <w:szCs w:val="19"/>
              </w:rPr>
              <w:t xml:space="preserve">The agent</w:t>
            </w:r>
          </w:p>
        </w:tc>
      </w:tr>
      <w:tr>
        <w:tc>
          <w:tcPr>
            <w:tcW w:type="dxa" w:w="800"/>
            <w:tcMar>
              <w:top w:type="dxa" w:w="70"/>
              <w:left w:type="dxa" w:w="110"/>
              <w:bottom w:type="dxa" w:w="70"/>
              <w:right w:type="dxa" w:w="110"/>
            </w:tcMar>
          </w:tcPr>
          <w:p>
            <w:pPr>
              <w:spacing w:after="0"/>
            </w:pPr>
            <w:r>
              <w:rPr>
                <w:b w:val="false"/>
                <w:bCs w:val="false"/>
                <w:sz w:val="19"/>
                <w:szCs w:val="19"/>
              </w:rPr>
              <w:t xml:space="preserve">6</w:t>
            </w:r>
          </w:p>
        </w:tc>
        <w:tc>
          <w:tcPr>
            <w:tcW w:type="dxa" w:w="1700"/>
            <w:tcMar>
              <w:top w:type="dxa" w:w="70"/>
              <w:left w:type="dxa" w:w="110"/>
              <w:bottom w:type="dxa" w:w="70"/>
              <w:right w:type="dxa" w:w="110"/>
            </w:tcMar>
          </w:tcPr>
          <w:p>
            <w:pPr>
              <w:spacing w:after="0"/>
            </w:pPr>
            <w:r>
              <w:rPr>
                <w:b w:val="false"/>
                <w:bCs w:val="false"/>
                <w:sz w:val="19"/>
                <w:szCs w:val="19"/>
              </w:rPr>
              <w:t xml:space="preserve">Team</w:t>
            </w:r>
          </w:p>
        </w:tc>
        <w:tc>
          <w:tcPr>
            <w:tcW w:type="dxa" w:w="3400"/>
            <w:tcMar>
              <w:top w:type="dxa" w:w="70"/>
              <w:left w:type="dxa" w:w="110"/>
              <w:bottom w:type="dxa" w:w="70"/>
              <w:right w:type="dxa" w:w="110"/>
            </w:tcMar>
          </w:tcPr>
          <w:p>
            <w:pPr>
              <w:spacing w:after="0"/>
            </w:pPr>
            <w:r>
              <w:rPr>
                <w:rFonts w:ascii="Consolas" w:cs="Consolas" w:eastAsia="Consolas" w:hAnsi="Consolas"/>
                <w:b w:val="false"/>
                <w:bCs w:val="false"/>
                <w:sz w:val="19"/>
                <w:szCs w:val="19"/>
              </w:rPr>
              <w:t xml:space="preserve">DBMS_CLOUD_AI_AGENT.CREATE_TEAM</w:t>
            </w:r>
          </w:p>
        </w:tc>
        <w:tc>
          <w:tcPr>
            <w:tcW w:type="dxa" w:w="3460"/>
            <w:tcMar>
              <w:top w:type="dxa" w:w="70"/>
              <w:left w:type="dxa" w:w="110"/>
              <w:bottom w:type="dxa" w:w="70"/>
              <w:right w:type="dxa" w:w="110"/>
            </w:tcMar>
          </w:tcPr>
          <w:p>
            <w:pPr>
              <w:spacing w:after="0"/>
            </w:pPr>
            <w:r>
              <w:rPr>
                <w:b w:val="false"/>
                <w:bCs w:val="false"/>
                <w:sz w:val="19"/>
                <w:szCs w:val="19"/>
              </w:rPr>
              <w:t xml:space="preserve">The agent and the task</w:t>
            </w:r>
          </w:p>
        </w:tc>
      </w:tr>
    </w:tbl>
    <w:p>
      <w:pPr>
        <w:pStyle w:val="Heading2"/>
        <w:spacing w:after="110" w:before="300"/>
      </w:pPr>
      <w:r>
        <w:t xml:space="preserve">8.2 Create the AI profiles</w:t>
      </w:r>
    </w:p>
    <w:p>
      <w:pPr>
        <w:pStyle w:val="Heading3"/>
        <w:spacing w:after="90" w:before="230"/>
      </w:pPr>
      <w:r>
        <w:t xml:space="preserve">8.2.1 NL2SQL profile</w:t>
      </w:r>
    </w:p>
    <w:p>
      <w:pPr>
        <w:spacing w:after="140"/>
        <w:jc w:val="both"/>
      </w:pPr>
      <w:r>
        <w:rPr>
          <w:sz w:val="21"/>
          <w:szCs w:val="21"/>
        </w:rPr>
        <w:t xml:space="preserve">Run as the agent schema. oci_compartment_id is required — without it the SQL tool fails at creation time.</w:t>
      </w:r>
    </w:p>
    <w:p>
      <w:pPr>
        <w:pBdr>
          <w:left w:val="single" w:color="1F4E79" w:sz="14" w:space="8"/>
        </w:pBdr>
        <w:shd w:fill="F4F6F8" w:val="clear"/>
        <w:spacing w:after="0" w:before="100" w:line="250"/>
        <w:ind w:left="220" w:right="120"/>
      </w:pPr>
      <w:r>
        <w:rPr>
          <w:rFonts w:ascii="Consolas" w:cs="Consolas" w:eastAsia="Consolas" w:hAnsi="Consolas"/>
          <w:sz w:val="17"/>
          <w:szCs w:val="17"/>
        </w:rPr>
        <w:t xml:space="preserve">BEGIN</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DBMS_CLOUD_AI.CREATE_PROFILE(</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profile_name =&gt; 'ACME_NL2SQL_PROFILE',</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attributes   =&gt; '{</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"provider"           : "oci",</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"credential_name"    : "OCI$RESOURCE_PRINCIPAL",</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"oci_compartment_id" : "&lt;your-compartment-ocid&gt;",</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"model"              : "meta.llama-4-maverick-17b-128e-instruct-fp8",</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"comments"           : "true",</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"constraints"        : "true",</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"object_list"        : [</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{"owner": "ACME_CORP", "name": "ACME_GL_TRANSACTIONS"},</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{"owner": "ACME_CORP", "name": "ACME_CHART_OF_ACCOUNTS"},</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{"owner": "ACME_CORP", "name": "ACME_DEPARTMENTS"},</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{"owner": "ACME_CORP", "name": "ACME_PERIOD_CLOSE"}</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END;</w:t>
      </w:r>
    </w:p>
    <w:p>
      <w:pPr>
        <w:pBdr>
          <w:left w:val="single" w:color="1F4E79" w:sz="14" w:space="8"/>
        </w:pBdr>
        <w:shd w:fill="F4F6F8" w:val="clear"/>
        <w:spacing w:after="160" w:before="0" w:line="250"/>
        <w:ind w:left="220" w:right="120"/>
      </w:pPr>
      <w:r>
        <w:rPr>
          <w:rFonts w:ascii="Consolas" w:cs="Consolas" w:eastAsia="Consolas" w:hAnsi="Consolas"/>
          <w:sz w:val="17"/>
          <w:szCs w:val="17"/>
        </w:rPr>
        <w:t xml:space="preserve">/</w:t>
      </w:r>
    </w:p>
    <w:p>
      <w:pPr>
        <w:pBdr>
          <w:top w:val="single" w:color="C87F0A" w:sz="4" w:space="7"/>
          <w:bottom w:val="single" w:color="C87F0A" w:sz="4" w:space="7"/>
          <w:left w:val="single" w:color="C87F0A" w:sz="20" w:space="9"/>
          <w:right w:val="single" w:color="C87F0A" w:sz="4" w:space="7"/>
        </w:pBdr>
        <w:shd w:fill="FDF3E3" w:val="clear"/>
        <w:spacing w:after="180" w:before="120"/>
        <w:ind w:left="170" w:right="170"/>
      </w:pPr>
      <w:r>
        <w:rPr>
          <w:b/>
          <w:bCs/>
          <w:sz w:val="20"/>
          <w:szCs w:val="20"/>
        </w:rPr>
        <w:t xml:space="preserve">CAUTION   </w:t>
      </w:r>
      <w:r>
        <w:rPr>
          <w:sz w:val="20"/>
          <w:szCs w:val="20"/>
        </w:rPr>
        <w:t xml:space="preserve">Do not set a region attribute. It looks harmless and it is not. Setting region to the region the database is actually in makes the database assemble a malformed inference endpoint and every call fails with ORA-20404: Object not found, against a URI containing the literal my$cloud_domain.</w:t>
      </w:r>
    </w:p>
    <w:p>
      <w:pPr>
        <w:spacing w:after="140"/>
        <w:jc w:val="both"/>
      </w:pPr>
      <w:r>
        <w:rPr>
          <w:sz w:val="21"/>
          <w:szCs w:val="21"/>
        </w:rPr>
        <w:t xml:space="preserve">The behavior is counter-intuitive enough to be worth stating as a table, because testing it with an arbitrary value will not reproduce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shd w:fill="DCE6F1" w:val="clear"/>
            <w:tcMar>
              <w:top w:type="dxa" w:w="70"/>
              <w:left w:type="dxa" w:w="110"/>
              <w:bottom w:type="dxa" w:w="70"/>
              <w:right w:type="dxa" w:w="110"/>
            </w:tcMar>
          </w:tcPr>
          <w:p>
            <w:pPr>
              <w:spacing w:after="0"/>
            </w:pPr>
            <w:r>
              <w:rPr>
                <w:b/>
                <w:bCs/>
                <w:sz w:val="19"/>
                <w:szCs w:val="19"/>
              </w:rPr>
              <w:t xml:space="preserve">region attribute</w:t>
            </w:r>
          </w:p>
        </w:tc>
        <w:tc>
          <w:tcPr>
            <w:tcW w:type="dxa" w:w="5360"/>
            <w:shd w:fill="DCE6F1" w:val="clear"/>
            <w:tcMar>
              <w:top w:type="dxa" w:w="70"/>
              <w:left w:type="dxa" w:w="110"/>
              <w:bottom w:type="dxa" w:w="70"/>
              <w:right w:type="dxa" w:w="110"/>
            </w:tcMar>
          </w:tcPr>
          <w:p>
            <w:pPr>
              <w:spacing w:after="0"/>
            </w:pPr>
            <w:r>
              <w:rPr>
                <w:b/>
                <w:bCs/>
                <w:sz w:val="19"/>
                <w:szCs w:val="19"/>
              </w:rPr>
              <w:t xml:space="preserve">Result</w:t>
            </w:r>
          </w:p>
        </w:tc>
      </w:tr>
      <w:tr>
        <w:tc>
          <w:tcPr>
            <w:tcW w:type="dxa" w:w="4000"/>
            <w:tcMar>
              <w:top w:type="dxa" w:w="70"/>
              <w:left w:type="dxa" w:w="110"/>
              <w:bottom w:type="dxa" w:w="70"/>
              <w:right w:type="dxa" w:w="110"/>
            </w:tcMar>
          </w:tcPr>
          <w:p>
            <w:pPr>
              <w:spacing w:after="0"/>
            </w:pPr>
            <w:r>
              <w:rPr>
                <w:b w:val="false"/>
                <w:bCs w:val="false"/>
                <w:sz w:val="19"/>
                <w:szCs w:val="19"/>
              </w:rPr>
              <w:t xml:space="preserve">omitted</w:t>
            </w:r>
          </w:p>
        </w:tc>
        <w:tc>
          <w:tcPr>
            <w:tcW w:type="dxa" w:w="5360"/>
            <w:tcMar>
              <w:top w:type="dxa" w:w="70"/>
              <w:left w:type="dxa" w:w="110"/>
              <w:bottom w:type="dxa" w:w="70"/>
              <w:right w:type="dxa" w:w="110"/>
            </w:tcMar>
          </w:tcPr>
          <w:p>
            <w:pPr>
              <w:spacing w:after="0"/>
            </w:pPr>
            <w:r>
              <w:rPr>
                <w:b w:val="false"/>
                <w:bCs w:val="false"/>
                <w:sz w:val="19"/>
                <w:szCs w:val="19"/>
              </w:rPr>
              <w:t xml:space="preserve">works</w:t>
            </w:r>
          </w:p>
        </w:tc>
      </w:tr>
      <w:tr>
        <w:tc>
          <w:tcPr>
            <w:tcW w:type="dxa" w:w="4000"/>
            <w:tcMar>
              <w:top w:type="dxa" w:w="70"/>
              <w:left w:type="dxa" w:w="110"/>
              <w:bottom w:type="dxa" w:w="70"/>
              <w:right w:type="dxa" w:w="110"/>
            </w:tcMar>
          </w:tcPr>
          <w:p>
            <w:pPr>
              <w:spacing w:after="0"/>
            </w:pPr>
            <w:r>
              <w:rPr>
                <w:b w:val="false"/>
                <w:bCs w:val="false"/>
                <w:sz w:val="19"/>
                <w:szCs w:val="19"/>
              </w:rPr>
              <w:t xml:space="preserve">set to the database's own region</w:t>
            </w:r>
          </w:p>
        </w:tc>
        <w:tc>
          <w:tcPr>
            <w:tcW w:type="dxa" w:w="5360"/>
            <w:tcMar>
              <w:top w:type="dxa" w:w="70"/>
              <w:left w:type="dxa" w:w="110"/>
              <w:bottom w:type="dxa" w:w="70"/>
              <w:right w:type="dxa" w:w="110"/>
            </w:tcMar>
          </w:tcPr>
          <w:p>
            <w:pPr>
              <w:spacing w:after="0"/>
            </w:pPr>
            <w:r>
              <w:rPr>
                <w:b w:val="false"/>
                <w:bCs w:val="false"/>
                <w:sz w:val="19"/>
                <w:szCs w:val="19"/>
              </w:rPr>
              <w:t xml:space="preserve">fails — ORA-20404</w:t>
            </w:r>
          </w:p>
        </w:tc>
      </w:tr>
      <w:tr>
        <w:tc>
          <w:tcPr>
            <w:tcW w:type="dxa" w:w="4000"/>
            <w:tcMar>
              <w:top w:type="dxa" w:w="70"/>
              <w:left w:type="dxa" w:w="110"/>
              <w:bottom w:type="dxa" w:w="70"/>
              <w:right w:type="dxa" w:w="110"/>
            </w:tcMar>
          </w:tcPr>
          <w:p>
            <w:pPr>
              <w:spacing w:after="0"/>
            </w:pPr>
            <w:r>
              <w:rPr>
                <w:b w:val="false"/>
                <w:bCs w:val="false"/>
                <w:sz w:val="19"/>
                <w:szCs w:val="19"/>
              </w:rPr>
              <w:t xml:space="preserve">set to a different region</w:t>
            </w:r>
          </w:p>
        </w:tc>
        <w:tc>
          <w:tcPr>
            <w:tcW w:type="dxa" w:w="5360"/>
            <w:tcMar>
              <w:top w:type="dxa" w:w="70"/>
              <w:left w:type="dxa" w:w="110"/>
              <w:bottom w:type="dxa" w:w="70"/>
              <w:right w:type="dxa" w:w="110"/>
            </w:tcMar>
          </w:tcPr>
          <w:p>
            <w:pPr>
              <w:spacing w:after="0"/>
            </w:pPr>
            <w:r>
              <w:rPr>
                <w:b w:val="false"/>
                <w:bCs w:val="false"/>
                <w:sz w:val="19"/>
                <w:szCs w:val="19"/>
              </w:rPr>
              <w:t xml:space="preserve">works</w:t>
            </w:r>
          </w:p>
        </w:tc>
      </w:tr>
    </w:tbl>
    <w:p>
      <w:pPr>
        <w:pBdr>
          <w:top w:val="single" w:color="3F7D46" w:sz="4" w:space="7"/>
          <w:bottom w:val="single" w:color="3F7D46" w:sz="4" w:space="7"/>
          <w:left w:val="single" w:color="3F7D46" w:sz="20" w:space="9"/>
          <w:right w:val="single" w:color="3F7D46" w:sz="4" w:space="7"/>
        </w:pBdr>
        <w:shd w:fill="EBF3EC" w:val="clear"/>
        <w:spacing w:after="180" w:before="120"/>
        <w:ind w:left="170" w:right="170"/>
      </w:pPr>
      <w:r>
        <w:rPr>
          <w:b/>
          <w:bCs/>
          <w:sz w:val="20"/>
          <w:szCs w:val="20"/>
        </w:rPr>
        <w:t xml:space="preserve">VERIFIED   </w:t>
      </w:r>
      <w:r>
        <w:rPr>
          <w:sz w:val="20"/>
          <w:szCs w:val="20"/>
        </w:rPr>
        <w:t xml:space="preserve">Confirmed against Oracle AI Database 26ai (23.26.3.2.0). An earlier draft of this guide recorded the opposite conclusion because the A/B test varied the value between two arbitrary regions, neither of which was the database's own — which is the only case that triggers the fault.</w:t>
      </w:r>
    </w:p>
    <w:p>
      <w:pPr>
        <w:pStyle w:val="Heading3"/>
        <w:spacing w:after="90" w:before="230"/>
      </w:pPr>
      <w:r>
        <w:t xml:space="preserve">8.2.2 RAG profile</w:t>
      </w:r>
    </w:p>
    <w:p>
      <w:pPr>
        <w:pBdr>
          <w:left w:val="single" w:color="1F4E79" w:sz="14" w:space="8"/>
        </w:pBdr>
        <w:shd w:fill="F4F6F8" w:val="clear"/>
        <w:spacing w:after="0" w:before="100" w:line="250"/>
        <w:ind w:left="220" w:right="120"/>
      </w:pPr>
      <w:r>
        <w:rPr>
          <w:rFonts w:ascii="Consolas" w:cs="Consolas" w:eastAsia="Consolas" w:hAnsi="Consolas"/>
          <w:sz w:val="17"/>
          <w:szCs w:val="17"/>
        </w:rPr>
        <w:t xml:space="preserve">BEGIN</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DBMS_CLOUD_AI.CREATE_PROFILE(</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profile_name =&gt; 'ACME_RAG_PROFILE',</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attributes   =&gt; '{</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"provider"          : "oci",</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"credential_name"   : "OCI$RESOURCE_PRINCIPAL",</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"oci_compartment_id": "&lt;your-compartment-ocid&gt;",</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"model"             : "meta.llama-4-maverick-17b-128e-instruct-fp8",</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"embedding_model"   : "cohere.embed-multilingual-v3.0",</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"vector_index_name" : "ACME_VECTOR_INDEX"</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END;</w:t>
      </w:r>
    </w:p>
    <w:p>
      <w:pPr>
        <w:pBdr>
          <w:left w:val="single" w:color="1F4E79" w:sz="14" w:space="8"/>
        </w:pBdr>
        <w:shd w:fill="F4F6F8" w:val="clear"/>
        <w:spacing w:after="160" w:before="0" w:line="250"/>
        <w:ind w:left="220" w:right="120"/>
      </w:pPr>
      <w:r>
        <w:rPr>
          <w:rFonts w:ascii="Consolas" w:cs="Consolas" w:eastAsia="Consolas" w:hAnsi="Consolas"/>
          <w:sz w:val="17"/>
          <w:szCs w:val="17"/>
        </w:rPr>
        <w:t xml:space="preserve">/</w:t>
      </w:r>
    </w:p>
    <w:p>
      <w:pPr>
        <w:pBdr>
          <w:top w:val="single" w:color="C87F0A" w:sz="4" w:space="7"/>
          <w:bottom w:val="single" w:color="C87F0A" w:sz="4" w:space="7"/>
          <w:left w:val="single" w:color="C87F0A" w:sz="20" w:space="9"/>
          <w:right w:val="single" w:color="C87F0A" w:sz="4" w:space="7"/>
        </w:pBdr>
        <w:shd w:fill="FDF3E3" w:val="clear"/>
        <w:spacing w:after="180" w:before="120"/>
        <w:ind w:left="170" w:right="170"/>
      </w:pPr>
      <w:r>
        <w:rPr>
          <w:b/>
          <w:bCs/>
          <w:sz w:val="20"/>
          <w:szCs w:val="20"/>
        </w:rPr>
        <w:t xml:space="preserve">CAUTION   </w:t>
      </w:r>
      <w:r>
        <w:rPr>
          <w:sz w:val="20"/>
          <w:szCs w:val="20"/>
        </w:rPr>
        <w:t xml:space="preserve">vector_index_name is what makes this a RAG profile. Rebuilding the profile and forgetting it leaves a profile that still answers — from model knowledge, with no retrieval and no error. Nothing in the output says RAG has been switched off.</w:t>
      </w:r>
    </w:p>
    <w:p>
      <w:pPr>
        <w:pStyle w:val="Heading3"/>
        <w:spacing w:after="90" w:before="230"/>
      </w:pPr>
      <w:r>
        <w:t xml:space="preserve">8.2.3 Attributes worth not setting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160"/>
      </w:tblGrid>
      <w:tr>
        <w:trPr>
          <w:tblHeader/>
        </w:trPr>
        <w:tc>
          <w:tcPr>
            <w:tcW w:type="dxa" w:w="1700"/>
            <w:shd w:fill="DCE6F1" w:val="clear"/>
            <w:tcMar>
              <w:top w:type="dxa" w:w="70"/>
              <w:left w:type="dxa" w:w="110"/>
              <w:bottom w:type="dxa" w:w="70"/>
              <w:right w:type="dxa" w:w="110"/>
            </w:tcMar>
          </w:tcPr>
          <w:p>
            <w:pPr>
              <w:spacing w:after="0"/>
            </w:pPr>
            <w:r>
              <w:rPr>
                <w:b/>
                <w:bCs/>
                <w:sz w:val="19"/>
                <w:szCs w:val="19"/>
              </w:rPr>
              <w:t xml:space="preserve">Attribute</w:t>
            </w:r>
          </w:p>
        </w:tc>
        <w:tc>
          <w:tcPr>
            <w:tcW w:type="dxa" w:w="2500"/>
            <w:shd w:fill="DCE6F1" w:val="clear"/>
            <w:tcMar>
              <w:top w:type="dxa" w:w="70"/>
              <w:left w:type="dxa" w:w="110"/>
              <w:bottom w:type="dxa" w:w="70"/>
              <w:right w:type="dxa" w:w="110"/>
            </w:tcMar>
          </w:tcPr>
          <w:p>
            <w:pPr>
              <w:spacing w:after="0"/>
            </w:pPr>
            <w:r>
              <w:rPr>
                <w:b/>
                <w:bCs/>
                <w:sz w:val="19"/>
                <w:szCs w:val="19"/>
              </w:rPr>
              <w:t xml:space="preserve">Common belief</w:t>
            </w:r>
          </w:p>
        </w:tc>
        <w:tc>
          <w:tcPr>
            <w:tcW w:type="dxa" w:w="5160"/>
            <w:shd w:fill="DCE6F1" w:val="clear"/>
            <w:tcMar>
              <w:top w:type="dxa" w:w="70"/>
              <w:left w:type="dxa" w:w="110"/>
              <w:bottom w:type="dxa" w:w="70"/>
              <w:right w:type="dxa" w:w="110"/>
            </w:tcMar>
          </w:tcPr>
          <w:p>
            <w:pPr>
              <w:spacing w:after="0"/>
            </w:pPr>
            <w:r>
              <w:rPr>
                <w:b/>
                <w:bCs/>
                <w:sz w:val="19"/>
                <w:szCs w:val="19"/>
              </w:rPr>
              <w:t xml:space="preserve">What was measured</w:t>
            </w:r>
          </w:p>
        </w:tc>
      </w:tr>
      <w:tr>
        <w:tc>
          <w:tcPr>
            <w:tcW w:type="dxa" w:w="1700"/>
            <w:tcMar>
              <w:top w:type="dxa" w:w="70"/>
              <w:left w:type="dxa" w:w="110"/>
              <w:bottom w:type="dxa" w:w="70"/>
              <w:right w:type="dxa" w:w="110"/>
            </w:tcMar>
          </w:tcPr>
          <w:p>
            <w:pPr>
              <w:spacing w:after="0"/>
            </w:pPr>
            <w:r>
              <w:rPr>
                <w:b w:val="false"/>
                <w:bCs w:val="false"/>
                <w:sz w:val="19"/>
                <w:szCs w:val="19"/>
              </w:rPr>
              <w:t xml:space="preserve">max_tokens</w:t>
            </w:r>
          </w:p>
        </w:tc>
        <w:tc>
          <w:tcPr>
            <w:tcW w:type="dxa" w:w="2500"/>
            <w:tcMar>
              <w:top w:type="dxa" w:w="70"/>
              <w:left w:type="dxa" w:w="110"/>
              <w:bottom w:type="dxa" w:w="70"/>
              <w:right w:type="dxa" w:w="110"/>
            </w:tcMar>
          </w:tcPr>
          <w:p>
            <w:pPr>
              <w:spacing w:after="0"/>
            </w:pPr>
            <w:r>
              <w:rPr>
                <w:b w:val="false"/>
                <w:bCs w:val="false"/>
                <w:sz w:val="19"/>
                <w:szCs w:val="19"/>
              </w:rPr>
              <w:t xml:space="preserve">Defaults to 1024, so it must be raised</w:t>
            </w:r>
          </w:p>
        </w:tc>
        <w:tc>
          <w:tcPr>
            <w:tcW w:type="dxa" w:w="5160"/>
            <w:tcMar>
              <w:top w:type="dxa" w:w="70"/>
              <w:left w:type="dxa" w:w="110"/>
              <w:bottom w:type="dxa" w:w="70"/>
              <w:right w:type="dxa" w:w="110"/>
            </w:tcMar>
          </w:tcPr>
          <w:p>
            <w:pPr>
              <w:spacing w:after="0"/>
            </w:pPr>
            <w:r>
              <w:rPr>
                <w:b w:val="false"/>
                <w:bCs w:val="false"/>
                <w:sz w:val="19"/>
                <w:szCs w:val="19"/>
              </w:rPr>
              <w:t xml:space="preserve">Unset produced 8,040 / 9,496 / 9,444 character answers; set to 1024 produced 5,085 / 5,219 / 5,295. It does not default to 1024 — leave it unset unless answers are actually truncating.</w:t>
            </w:r>
          </w:p>
        </w:tc>
      </w:tr>
      <w:tr>
        <w:tc>
          <w:tcPr>
            <w:tcW w:type="dxa" w:w="1700"/>
            <w:tcMar>
              <w:top w:type="dxa" w:w="70"/>
              <w:left w:type="dxa" w:w="110"/>
              <w:bottom w:type="dxa" w:w="70"/>
              <w:right w:type="dxa" w:w="110"/>
            </w:tcMar>
          </w:tcPr>
          <w:p>
            <w:pPr>
              <w:spacing w:after="0"/>
            </w:pPr>
            <w:r>
              <w:rPr>
                <w:b w:val="false"/>
                <w:bCs w:val="false"/>
                <w:sz w:val="19"/>
                <w:szCs w:val="19"/>
              </w:rPr>
              <w:t xml:space="preserve">conversation</w:t>
            </w:r>
          </w:p>
        </w:tc>
        <w:tc>
          <w:tcPr>
            <w:tcW w:type="dxa" w:w="2500"/>
            <w:tcMar>
              <w:top w:type="dxa" w:w="70"/>
              <w:left w:type="dxa" w:w="110"/>
              <w:bottom w:type="dxa" w:w="70"/>
              <w:right w:type="dxa" w:w="110"/>
            </w:tcMar>
          </w:tcPr>
          <w:p>
            <w:pPr>
              <w:spacing w:after="0"/>
            </w:pPr>
            <w:r>
              <w:rPr>
                <w:b w:val="false"/>
                <w:bCs w:val="false"/>
                <w:sz w:val="19"/>
                <w:szCs w:val="19"/>
              </w:rPr>
              <w:t xml:space="preserve">Must be enabled for follow-up questions to work</w:t>
            </w:r>
          </w:p>
        </w:tc>
        <w:tc>
          <w:tcPr>
            <w:tcW w:type="dxa" w:w="5160"/>
            <w:tcMar>
              <w:top w:type="dxa" w:w="70"/>
              <w:left w:type="dxa" w:w="110"/>
              <w:bottom w:type="dxa" w:w="70"/>
              <w:right w:type="dxa" w:w="110"/>
            </w:tcMar>
          </w:tcPr>
          <w:p>
            <w:pPr>
              <w:spacing w:after="0"/>
            </w:pPr>
            <w:r>
              <w:rPr>
                <w:b w:val="false"/>
                <w:bCs w:val="false"/>
                <w:sz w:val="19"/>
                <w:szCs w:val="19"/>
              </w:rPr>
              <w:t xml:space="preserve">Context carried across turns with the attribute unset.</w:t>
            </w:r>
          </w:p>
        </w:tc>
      </w:tr>
    </w:tbl>
    <w:p>
      <w:pPr>
        <w:spacing w:after="140"/>
        <w:jc w:val="both"/>
      </w:pPr>
      <w:r>
        <w:rPr>
          <w:sz w:val="21"/>
          <w:szCs w:val="21"/>
        </w:rPr>
        <w:t xml:space="preserve">Both are safe to set; the point is that setting them to fix a problem you have not observed adds configuration you will later have to reason about.</w:t>
      </w:r>
    </w:p>
    <w:p>
      <w:pPr>
        <w:pStyle w:val="Heading2"/>
        <w:spacing w:after="110" w:before="300"/>
      </w:pPr>
      <w:r>
        <w:t xml:space="preserve">8.3 Create the vector index</w:t>
      </w:r>
    </w:p>
    <w:p>
      <w:pPr>
        <w:pBdr>
          <w:left w:val="single" w:color="1F4E79" w:sz="14" w:space="8"/>
        </w:pBdr>
        <w:shd w:fill="F4F6F8" w:val="clear"/>
        <w:spacing w:after="0" w:before="100" w:line="250"/>
        <w:ind w:left="220" w:right="120"/>
      </w:pPr>
      <w:r>
        <w:rPr>
          <w:rFonts w:ascii="Consolas" w:cs="Consolas" w:eastAsia="Consolas" w:hAnsi="Consolas"/>
          <w:sz w:val="17"/>
          <w:szCs w:val="17"/>
        </w:rPr>
        <w:t xml:space="preserve">BEGIN</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DBMS_CLOUD_AI.CREATE_VECTOR_INDEX(</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index_name =&gt; 'ACME_VECTOR_INDEX',</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attributes =&gt; '{</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"vector_db_provider": "oracle",</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"location"          : "https://objectstorage.&lt;your-region&gt;.oraclecloud.com/n/&lt;your-namespace&gt;/b/&lt;your-bucket&gt;/o/&lt;your-prefix&gt;/",</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"object_storage_credential_name": "OCI$RESOURCE_PRINCIPAL",</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"profile_name"      : "ACME_RAG_PROFILE",</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"vector_dimension"  : 1024,</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"vector_distance_metric": "cosine",</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"chunk_size"        : 1024,</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"chunk_overlap"     : 128</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END;</w:t>
      </w:r>
    </w:p>
    <w:p>
      <w:pPr>
        <w:pBdr>
          <w:left w:val="single" w:color="1F4E79" w:sz="14" w:space="8"/>
        </w:pBdr>
        <w:shd w:fill="F4F6F8" w:val="clear"/>
        <w:spacing w:after="160" w:before="0" w:line="250"/>
        <w:ind w:left="220" w:right="120"/>
      </w:pPr>
      <w:r>
        <w:rPr>
          <w:rFonts w:ascii="Consolas" w:cs="Consolas" w:eastAsia="Consolas" w:hAnsi="Consolas"/>
          <w:sz w:val="17"/>
          <w:szCs w:val="17"/>
        </w:rPr>
        <w:t xml:space="preserve">/</w:t>
      </w:r>
    </w:p>
    <w:p>
      <w:pPr>
        <w:pStyle w:val="Heading3"/>
        <w:spacing w:after="90" w:before="230"/>
      </w:pPr>
      <w:r>
        <w:t xml:space="preserve">Verifying the index actually read the documents</w:t>
      </w:r>
    </w:p>
    <w:p>
      <w:pPr>
        <w:spacing w:after="140"/>
        <w:jc w:val="both"/>
      </w:pPr>
      <w:r>
        <w:rPr>
          <w:sz w:val="21"/>
          <w:szCs w:val="21"/>
        </w:rPr>
        <w:t xml:space="preserve">Counting rows in the backing table is not a sufficient check. An image-only PDF — a scan with no text layer — still produces a row, so the row count matches expectations while the document is entirely unreadable. Check content length instead:</w:t>
      </w:r>
    </w:p>
    <w:p>
      <w:pPr>
        <w:pBdr>
          <w:left w:val="single" w:color="1F4E79" w:sz="14" w:space="8"/>
        </w:pBdr>
        <w:shd w:fill="F4F6F8" w:val="clear"/>
        <w:spacing w:after="0" w:before="100" w:line="250"/>
        <w:ind w:left="220" w:right="120"/>
      </w:pPr>
      <w:r>
        <w:rPr>
          <w:rFonts w:ascii="Consolas" w:cs="Consolas" w:eastAsia="Consolas" w:hAnsi="Consolas"/>
          <w:sz w:val="17"/>
          <w:szCs w:val="17"/>
        </w:rPr>
        <w:t xml:space="preserve">SELECT JSON_VALUE(attributes, '$.file_name') AS source,</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LENGTH(content)                       AS chars</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FROM   acme_vector_index$vectab</w:t>
      </w:r>
    </w:p>
    <w:p>
      <w:pPr>
        <w:pBdr>
          <w:left w:val="single" w:color="1F4E79" w:sz="14" w:space="8"/>
        </w:pBdr>
        <w:shd w:fill="F4F6F8" w:val="clear"/>
        <w:spacing w:after="160" w:before="0" w:line="250"/>
        <w:ind w:left="220" w:right="120"/>
      </w:pPr>
      <w:r>
        <w:rPr>
          <w:rFonts w:ascii="Consolas" w:cs="Consolas" w:eastAsia="Consolas" w:hAnsi="Consolas"/>
          <w:sz w:val="17"/>
          <w:szCs w:val="17"/>
        </w:rPr>
        <w:t xml:space="preserve">ORDER  BY chars;</w:t>
      </w:r>
    </w:p>
    <w:p>
      <w:pPr>
        <w:pBdr>
          <w:top w:val="single" w:color="3F7D46" w:sz="4" w:space="7"/>
          <w:bottom w:val="single" w:color="3F7D46" w:sz="4" w:space="7"/>
          <w:left w:val="single" w:color="3F7D46" w:sz="20" w:space="9"/>
          <w:right w:val="single" w:color="3F7D46" w:sz="4" w:space="7"/>
        </w:pBdr>
        <w:shd w:fill="EBF3EC" w:val="clear"/>
        <w:spacing w:after="180" w:before="120"/>
        <w:ind w:left="170" w:right="170"/>
      </w:pPr>
      <w:r>
        <w:rPr>
          <w:b/>
          <w:bCs/>
          <w:sz w:val="20"/>
          <w:szCs w:val="20"/>
        </w:rPr>
        <w:t xml:space="preserve">VERIFIED   </w:t>
      </w:r>
      <w:r>
        <w:rPr>
          <w:sz w:val="20"/>
          <w:szCs w:val="20"/>
        </w:rPr>
        <w:t xml:space="preserve">In testing, an image-only PDF produced a row containing 26 characters while genuine documents produced 458 to 690. The row count check passed; the length check is what exposed it.</w:t>
      </w:r>
    </w:p>
    <w:p>
      <w:pPr>
        <w:pStyle w:val="Heading2"/>
        <w:spacing w:after="110" w:before="300"/>
      </w:pPr>
      <w:r>
        <w:t xml:space="preserve">8.4 Add table and column comments</w:t>
      </w:r>
    </w:p>
    <w:p>
      <w:pPr>
        <w:spacing w:after="140"/>
        <w:jc w:val="both"/>
      </w:pPr>
      <w:r>
        <w:rPr>
          <w:sz w:val="21"/>
          <w:szCs w:val="21"/>
        </w:rPr>
        <w:t xml:space="preserve">Comments are the single highest-leverage thing you can do for NL2SQL accuracy. With comments true and constraints true in the profile, the model reads them as schema documentation and stops inventing column semantics.</w:t>
      </w:r>
    </w:p>
    <w:p>
      <w:pPr>
        <w:pBdr>
          <w:left w:val="single" w:color="1F4E79" w:sz="14" w:space="8"/>
        </w:pBdr>
        <w:shd w:fill="F4F6F8" w:val="clear"/>
        <w:spacing w:after="0" w:before="100" w:line="250"/>
        <w:ind w:left="220" w:right="120"/>
      </w:pPr>
      <w:r>
        <w:rPr>
          <w:rFonts w:ascii="Consolas" w:cs="Consolas" w:eastAsia="Consolas" w:hAnsi="Consolas"/>
          <w:sz w:val="17"/>
          <w:szCs w:val="17"/>
        </w:rPr>
        <w:t xml:space="preserve">COMMENT ON TABLE acme_gl_transactions IS</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'General ledger transactions. One row per posted journal line.';</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COMMENT ON COLUMN acme_gl_transactions.period_name IS</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'Accounting period in MON-YYYY format, e.g. AUG-2025.';</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COMMENT ON COLUMN acme_gl_transactions.amount IS</w:t>
      </w:r>
    </w:p>
    <w:p>
      <w:pPr>
        <w:pBdr>
          <w:left w:val="single" w:color="1F4E79" w:sz="14" w:space="8"/>
        </w:pBdr>
        <w:shd w:fill="F4F6F8" w:val="clear"/>
        <w:spacing w:after="160" w:before="0" w:line="250"/>
        <w:ind w:left="220" w:right="120"/>
      </w:pPr>
      <w:r>
        <w:rPr>
          <w:rFonts w:ascii="Consolas" w:cs="Consolas" w:eastAsia="Consolas" w:hAnsi="Consolas"/>
          <w:sz w:val="17"/>
          <w:szCs w:val="17"/>
        </w:rPr>
        <w:t xml:space="preserve">  'Posted amount in USD. Debits positive, credits negative.';</w:t>
      </w:r>
    </w:p>
    <w:p>
      <w:pPr>
        <w:pStyle w:val="Heading2"/>
        <w:spacing w:after="110" w:before="300"/>
      </w:pPr>
      <w:r>
        <w:t xml:space="preserve">8.5 Create the agent stack</w:t>
      </w:r>
    </w:p>
    <w:p>
      <w:pPr>
        <w:pStyle w:val="Heading3"/>
        <w:spacing w:after="90" w:before="230"/>
      </w:pPr>
      <w:r>
        <w:t xml:space="preserve">8.5.1 SQL and RAG tools</w:t>
      </w:r>
    </w:p>
    <w:p>
      <w:pPr>
        <w:pBdr>
          <w:left w:val="single" w:color="1F4E79" w:sz="14" w:space="8"/>
        </w:pBdr>
        <w:shd w:fill="F4F6F8" w:val="clear"/>
        <w:spacing w:after="0" w:before="100" w:line="250"/>
        <w:ind w:left="220" w:right="120"/>
      </w:pPr>
      <w:r>
        <w:rPr>
          <w:rFonts w:ascii="Consolas" w:cs="Consolas" w:eastAsia="Consolas" w:hAnsi="Consolas"/>
          <w:sz w:val="17"/>
          <w:szCs w:val="17"/>
        </w:rPr>
        <w:t xml:space="preserve">BEGIN</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DBMS_CLOUD_AI_AGENT.CREATE_TOOL(</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tool_name  =&gt; 'ACME_SQL_TOOL',</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attributes =&gt; '{</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"tool_type"   : "SQL",</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"tool_params" : {"profile_name": "ACME_NL2SQL_PROFILE", "action": "narrate"},</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"description" : "Read-only access to the ACME general ledger and reference tables."</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END;</w:t>
      </w:r>
    </w:p>
    <w:p>
      <w:pPr>
        <w:pBdr>
          <w:left w:val="single" w:color="1F4E79" w:sz="14" w:space="8"/>
        </w:pBdr>
        <w:shd w:fill="F4F6F8" w:val="clear"/>
        <w:spacing w:after="160" w:before="0" w:line="250"/>
        <w:ind w:left="220" w:right="120"/>
      </w:pPr>
      <w:r>
        <w:rPr>
          <w:rFonts w:ascii="Consolas" w:cs="Consolas" w:eastAsia="Consolas" w:hAnsi="Consolas"/>
          <w:sz w:val="17"/>
          <w:szCs w:val="17"/>
        </w:rPr>
        <w:t xml:space="preserve">/</w:t>
      </w:r>
    </w:p>
    <w:p>
      <w:pPr>
        <w:pBdr>
          <w:top w:val="single" w:color="C87F0A" w:sz="4" w:space="7"/>
          <w:bottom w:val="single" w:color="C87F0A" w:sz="4" w:space="7"/>
          <w:left w:val="single" w:color="C87F0A" w:sz="20" w:space="9"/>
          <w:right w:val="single" w:color="C87F0A" w:sz="4" w:space="7"/>
        </w:pBdr>
        <w:shd w:fill="FDF3E3" w:val="clear"/>
        <w:spacing w:after="180" w:before="120"/>
        <w:ind w:left="170" w:right="170"/>
      </w:pPr>
      <w:r>
        <w:rPr>
          <w:b/>
          <w:bCs/>
          <w:sz w:val="20"/>
          <w:szCs w:val="20"/>
        </w:rPr>
        <w:t xml:space="preserve">CAUTION   </w:t>
      </w:r>
      <w:r>
        <w:rPr>
          <w:sz w:val="20"/>
          <w:szCs w:val="20"/>
        </w:rPr>
        <w:t xml:space="preserve">profile_name belongs inside tool_params, not at the top level. Placing it at the top level raises ORA-20052 rather than failing silently — which is the good outcome. The dangerous variant is a lowercase quoted parameter name: the call succeeds and the parameter is silently ignored, leaving the tool to fall back to its default.</w:t>
      </w:r>
    </w:p>
    <w:p>
      <w:pPr>
        <w:pBdr>
          <w:top w:val="single" w:color="C87F0A" w:sz="4" w:space="7"/>
          <w:bottom w:val="single" w:color="C87F0A" w:sz="4" w:space="7"/>
          <w:left w:val="single" w:color="C87F0A" w:sz="20" w:space="9"/>
          <w:right w:val="single" w:color="C87F0A" w:sz="4" w:space="7"/>
        </w:pBdr>
        <w:shd w:fill="FDF3E3" w:val="clear"/>
        <w:spacing w:after="180" w:before="120"/>
        <w:ind w:left="170" w:right="170"/>
      </w:pPr>
      <w:r>
        <w:rPr>
          <w:b/>
          <w:bCs/>
          <w:sz w:val="20"/>
          <w:szCs w:val="20"/>
        </w:rPr>
        <w:t xml:space="preserve">CAUTION   </w:t>
      </w:r>
      <w:r>
        <w:rPr>
          <w:sz w:val="20"/>
          <w:szCs w:val="20"/>
        </w:rPr>
        <w:t xml:space="preserve">CREATE_TOOL does not verify that the function it names exists. A tool registered against a misspelled or entirely absent function is created successfully and stays ENABLED; the failure only appears when the agent tries to call it.</w:t>
      </w:r>
    </w:p>
    <w:p>
      <w:pPr>
        <w:pStyle w:val="Heading3"/>
        <w:spacing w:after="90" w:before="230"/>
      </w:pPr>
      <w:r>
        <w:t xml:space="preserve">8.5.2 Agent, task and team</w:t>
      </w:r>
    </w:p>
    <w:p>
      <w:pPr>
        <w:pBdr>
          <w:left w:val="single" w:color="1F4E79" w:sz="14" w:space="8"/>
        </w:pBdr>
        <w:shd w:fill="F4F6F8" w:val="clear"/>
        <w:spacing w:after="0" w:before="100" w:line="250"/>
        <w:ind w:left="220" w:right="120"/>
      </w:pPr>
      <w:r>
        <w:rPr>
          <w:rFonts w:ascii="Consolas" w:cs="Consolas" w:eastAsia="Consolas" w:hAnsi="Consolas"/>
          <w:sz w:val="17"/>
          <w:szCs w:val="17"/>
        </w:rPr>
        <w:t xml:space="preserve">BEGIN</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DBMS_CLOUD_AI_AGENT.CREATE_AGENT(</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agent_name =&gt; 'ACME_ANALYST',</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attributes =&gt; '{</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"profile_name": "ACME_NL2SQL_PROFILE",</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"role"        : "Experienced ACME Corp financial analyst.",</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"tools"       : ["ACME_SQL_TOOL", "ACME_RAG_TOOL",</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"ACME_TREND_TOOL", "ACME_FORECAST_TOOL",</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"ACME_ANOMALY_TOOL", "ACME_PYTHON_TOOL"]</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DBMS_CLOUD_AI_AGENT.CREATE_TASK(</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task_name  =&gt; 'ACME_ANALYST_TASK',</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attributes =&gt; '{"instruction": "Answer using only data returned by tools. Never invent figures.",</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"agent_name" : "ACME_ANALYST"}'</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DBMS_CLOUD_AI_AGENT.CREATE_TEAM(</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team_name  =&gt; 'ACME_ANALYST_TEAM',</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attributes =&gt; '{"agents": [{"ACME_ANALYST": "ACME_ANALYST_TASK"}], "process": "sequential"}'</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END;</w:t>
      </w:r>
    </w:p>
    <w:p>
      <w:pPr>
        <w:pBdr>
          <w:left w:val="single" w:color="1F4E79" w:sz="14" w:space="8"/>
        </w:pBdr>
        <w:shd w:fill="F4F6F8" w:val="clear"/>
        <w:spacing w:after="160" w:before="0" w:line="250"/>
        <w:ind w:left="220" w:right="120"/>
      </w:pPr>
      <w:r>
        <w:rPr>
          <w:rFonts w:ascii="Consolas" w:cs="Consolas" w:eastAsia="Consolas" w:hAnsi="Consolas"/>
          <w:sz w:val="17"/>
          <w:szCs w:val="17"/>
        </w:rPr>
        <w:t xml:space="preserve">/</w:t>
      </w:r>
    </w:p>
    <w:p>
      <w:pPr>
        <w:spacing w:after="140"/>
        <w:jc w:val="both"/>
      </w:pPr>
      <w:r>
        <w:rPr>
          <w:sz w:val="21"/>
          <w:szCs w:val="21"/>
        </w:rPr>
        <w:t xml:space="preserve">The tools array is what makes the agent an agent. Omit it and the agent answers from model knowledge without invoking anything — fluently, and wrongly.</w:t>
      </w:r>
    </w:p>
    <w:p>
      <w:pPr>
        <w:pStyle w:val="Heading2"/>
        <w:spacing w:after="110" w:before="300"/>
      </w:pPr>
      <w:r>
        <w:t xml:space="preserve">8.6 End-to-end test</w:t>
      </w:r>
    </w:p>
    <w:p>
      <w:pPr>
        <w:pBdr>
          <w:left w:val="single" w:color="1F4E79" w:sz="14" w:space="8"/>
        </w:pBdr>
        <w:shd w:fill="F4F6F8" w:val="clear"/>
        <w:spacing w:after="0" w:before="100" w:line="250"/>
        <w:ind w:left="220" w:right="120"/>
      </w:pPr>
      <w:r>
        <w:rPr>
          <w:rFonts w:ascii="Consolas" w:cs="Consolas" w:eastAsia="Consolas" w:hAnsi="Consolas"/>
          <w:sz w:val="17"/>
          <w:szCs w:val="17"/>
        </w:rPr>
        <w:t xml:space="preserve">SET SERVEROUTPUT ON</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DECLARE</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v_conv   VARCHAR2(200);</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v_answer CLOB;</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BEGIN</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v_conv := DBMS_CLOUD_AI.CREATE_CONVERSATION();</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v_answer := DBMS_CLOUD_AI_AGENT.RUN_TEAM(</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team_name   =&gt; 'ACME_ANALYST_TEAM',</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user_prompt =&gt; 'What were total Engineering expenses in August 2025?',</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params      =&gt; '{"conversation_id": "' || v_conv || '"}');</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DBMS_OUTPUT.PUT_LINE(v_answer);</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END;</w:t>
      </w:r>
    </w:p>
    <w:p>
      <w:pPr>
        <w:pBdr>
          <w:left w:val="single" w:color="1F4E79" w:sz="14" w:space="8"/>
        </w:pBdr>
        <w:shd w:fill="F4F6F8" w:val="clear"/>
        <w:spacing w:after="160" w:before="0" w:line="250"/>
        <w:ind w:left="220" w:right="120"/>
      </w:pPr>
      <w:r>
        <w:rPr>
          <w:rFonts w:ascii="Consolas" w:cs="Consolas" w:eastAsia="Consolas" w:hAnsi="Consolas"/>
          <w:sz w:val="17"/>
          <w:szCs w:val="17"/>
        </w:rPr>
        <w:t xml:space="preserve">/</w:t>
      </w:r>
    </w:p>
    <w:p>
      <w:pPr>
        <w:pBdr>
          <w:top w:val="single" w:color="C87F0A" w:sz="4" w:space="7"/>
          <w:bottom w:val="single" w:color="C87F0A" w:sz="4" w:space="7"/>
          <w:left w:val="single" w:color="C87F0A" w:sz="20" w:space="9"/>
          <w:right w:val="single" w:color="C87F0A" w:sz="4" w:space="7"/>
        </w:pBdr>
        <w:shd w:fill="FDF3E3" w:val="clear"/>
        <w:spacing w:after="180" w:before="120"/>
        <w:ind w:left="170" w:right="170"/>
      </w:pPr>
      <w:r>
        <w:rPr>
          <w:b/>
          <w:bCs/>
          <w:sz w:val="20"/>
          <w:szCs w:val="20"/>
        </w:rPr>
        <w:t xml:space="preserve">CAUTION   </w:t>
      </w:r>
      <w:r>
        <w:rPr>
          <w:sz w:val="20"/>
          <w:szCs w:val="20"/>
        </w:rPr>
        <w:t xml:space="preserve">Two details in that call are easy to get wrong and fail in ways that do not name the cause. The prompt parameter is user_prompt, not query — passing query raises ORA-06550 from the anonymous block, which reads as a syntax error in your own code. And a conversation id must come from DBMS_CLOUD_AI.CREATE_CONVERSATION(); a SYS_GUID() value is rejected with ORA-20050: Invalid value for conversation id.</w:t>
      </w:r>
    </w:p>
    <w:p>
      <w:pPr>
        <w:spacing w:after="140"/>
        <w:jc w:val="both"/>
      </w:pPr>
      <w:r>
        <w:rPr>
          <w:sz w:val="21"/>
          <w:szCs w:val="21"/>
        </w:rPr>
        <w:t xml:space="preserve">A correct answer here quotes a figure that exists in the ledger. If the number is plausible but absent from the tables, the tools array or the task instruction is wrong.</w:t>
      </w:r>
    </w:p>
    <w:p>
      <w:pPr>
        <w:pStyle w:val="Heading2"/>
        <w:spacing w:after="110" w:before="300"/>
      </w:pPr>
      <w:r>
        <w:t xml:space="preserve">8.7 APEX page 4</w:t>
      </w:r>
    </w:p>
    <w:p>
      <w:pPr>
        <w:spacing w:after="140"/>
        <w:jc w:val="both"/>
      </w:pPr>
      <w:r>
        <w:rPr>
          <w:sz w:val="21"/>
          <w:szCs w:val="21"/>
        </w:rPr>
        <w:t xml:space="preserve">Page 4 reuses the page 3 interface unchanged and swaps the callback body for a RUN_TEAM call. The only structural difference is error handling, covered in section 9.9, because a tool failure returns a JSON error object rather than prose.</w:t>
      </w:r>
    </w:p>
    <w:p>
      <w:pPr>
        <w:pStyle w:val="Heading2"/>
        <w:spacing w:after="110" w:before="300"/>
      </w:pPr>
      <w:r>
        <w:t xml:space="preserve">8.8 Lessons that survive working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560"/>
      </w:tblGrid>
      <w:tr>
        <w:trPr>
          <w:tblHeader/>
        </w:trPr>
        <w:tc>
          <w:tcPr>
            <w:tcW w:type="dxa" w:w="2500"/>
            <w:shd w:fill="DCE6F1" w:val="clear"/>
            <w:tcMar>
              <w:top w:type="dxa" w:w="70"/>
              <w:left w:type="dxa" w:w="110"/>
              <w:bottom w:type="dxa" w:w="70"/>
              <w:right w:type="dxa" w:w="110"/>
            </w:tcMar>
          </w:tcPr>
          <w:p>
            <w:pPr>
              <w:spacing w:after="0"/>
            </w:pPr>
            <w:r>
              <w:rPr>
                <w:b/>
                <w:bCs/>
                <w:sz w:val="19"/>
                <w:szCs w:val="19"/>
              </w:rPr>
              <w:t xml:space="preserve">Issue</w:t>
            </w:r>
          </w:p>
        </w:tc>
        <w:tc>
          <w:tcPr>
            <w:tcW w:type="dxa" w:w="3300"/>
            <w:shd w:fill="DCE6F1" w:val="clear"/>
            <w:tcMar>
              <w:top w:type="dxa" w:w="70"/>
              <w:left w:type="dxa" w:w="110"/>
              <w:bottom w:type="dxa" w:w="70"/>
              <w:right w:type="dxa" w:w="110"/>
            </w:tcMar>
          </w:tcPr>
          <w:p>
            <w:pPr>
              <w:spacing w:after="0"/>
            </w:pPr>
            <w:r>
              <w:rPr>
                <w:b/>
                <w:bCs/>
                <w:sz w:val="19"/>
                <w:szCs w:val="19"/>
              </w:rPr>
              <w:t xml:space="preserve">Root cause</w:t>
            </w:r>
          </w:p>
        </w:tc>
        <w:tc>
          <w:tcPr>
            <w:tcW w:type="dxa" w:w="3560"/>
            <w:shd w:fill="DCE6F1" w:val="clear"/>
            <w:tcMar>
              <w:top w:type="dxa" w:w="70"/>
              <w:left w:type="dxa" w:w="110"/>
              <w:bottom w:type="dxa" w:w="70"/>
              <w:right w:type="dxa" w:w="110"/>
            </w:tcMar>
          </w:tcPr>
          <w:p>
            <w:pPr>
              <w:spacing w:after="0"/>
            </w:pPr>
            <w:r>
              <w:rPr>
                <w:b/>
                <w:bCs/>
                <w:sz w:val="19"/>
                <w:szCs w:val="19"/>
              </w:rPr>
              <w:t xml:space="preserve">Resolution</w:t>
            </w:r>
          </w:p>
        </w:tc>
      </w:tr>
      <w:tr>
        <w:tc>
          <w:tcPr>
            <w:tcW w:type="dxa" w:w="2500"/>
            <w:tcMar>
              <w:top w:type="dxa" w:w="70"/>
              <w:left w:type="dxa" w:w="110"/>
              <w:bottom w:type="dxa" w:w="70"/>
              <w:right w:type="dxa" w:w="110"/>
            </w:tcMar>
          </w:tcPr>
          <w:p>
            <w:pPr>
              <w:spacing w:after="0"/>
            </w:pPr>
            <w:r>
              <w:rPr>
                <w:b w:val="false"/>
                <w:bCs w:val="false"/>
                <w:sz w:val="19"/>
                <w:szCs w:val="19"/>
              </w:rPr>
              <w:t xml:space="preserve">ORA-20052 on SQL tool creation</w:t>
            </w:r>
          </w:p>
        </w:tc>
        <w:tc>
          <w:tcPr>
            <w:tcW w:type="dxa" w:w="3300"/>
            <w:tcMar>
              <w:top w:type="dxa" w:w="70"/>
              <w:left w:type="dxa" w:w="110"/>
              <w:bottom w:type="dxa" w:w="70"/>
              <w:right w:type="dxa" w:w="110"/>
            </w:tcMar>
          </w:tcPr>
          <w:p>
            <w:pPr>
              <w:spacing w:after="0"/>
            </w:pPr>
            <w:r>
              <w:rPr>
                <w:b w:val="false"/>
                <w:bCs w:val="false"/>
                <w:sz w:val="19"/>
                <w:szCs w:val="19"/>
              </w:rPr>
              <w:t xml:space="preserve">oci_compartment_id missing from the profile</w:t>
            </w:r>
          </w:p>
        </w:tc>
        <w:tc>
          <w:tcPr>
            <w:tcW w:type="dxa" w:w="3560"/>
            <w:tcMar>
              <w:top w:type="dxa" w:w="70"/>
              <w:left w:type="dxa" w:w="110"/>
              <w:bottom w:type="dxa" w:w="70"/>
              <w:right w:type="dxa" w:w="110"/>
            </w:tcMar>
          </w:tcPr>
          <w:p>
            <w:pPr>
              <w:spacing w:after="0"/>
            </w:pPr>
            <w:r>
              <w:rPr>
                <w:b w:val="false"/>
                <w:bCs w:val="false"/>
                <w:sz w:val="19"/>
                <w:szCs w:val="19"/>
              </w:rPr>
              <w:t xml:space="preserve">Always include it in profile attributes</w:t>
            </w:r>
          </w:p>
        </w:tc>
      </w:tr>
      <w:tr>
        <w:tc>
          <w:tcPr>
            <w:tcW w:type="dxa" w:w="2500"/>
            <w:tcMar>
              <w:top w:type="dxa" w:w="70"/>
              <w:left w:type="dxa" w:w="110"/>
              <w:bottom w:type="dxa" w:w="70"/>
              <w:right w:type="dxa" w:w="110"/>
            </w:tcMar>
          </w:tcPr>
          <w:p>
            <w:pPr>
              <w:spacing w:after="0"/>
            </w:pPr>
            <w:r>
              <w:rPr>
                <w:b w:val="false"/>
                <w:bCs w:val="false"/>
                <w:sz w:val="19"/>
                <w:szCs w:val="19"/>
              </w:rPr>
              <w:t xml:space="preserve">Agent answers without calling tools</w:t>
            </w:r>
          </w:p>
        </w:tc>
        <w:tc>
          <w:tcPr>
            <w:tcW w:type="dxa" w:w="3300"/>
            <w:tcMar>
              <w:top w:type="dxa" w:w="70"/>
              <w:left w:type="dxa" w:w="110"/>
              <w:bottom w:type="dxa" w:w="70"/>
              <w:right w:type="dxa" w:w="110"/>
            </w:tcMar>
          </w:tcPr>
          <w:p>
            <w:pPr>
              <w:spacing w:after="0"/>
            </w:pPr>
            <w:r>
              <w:rPr>
                <w:rFonts w:ascii="Consolas" w:cs="Consolas" w:eastAsia="Consolas" w:hAnsi="Consolas"/>
                <w:b w:val="false"/>
                <w:bCs w:val="false"/>
                <w:sz w:val="19"/>
                <w:szCs w:val="19"/>
              </w:rPr>
              <w:t xml:space="preserve">tools array absent from CREATE_AGENT</w:t>
            </w:r>
          </w:p>
        </w:tc>
        <w:tc>
          <w:tcPr>
            <w:tcW w:type="dxa" w:w="3560"/>
            <w:tcMar>
              <w:top w:type="dxa" w:w="70"/>
              <w:left w:type="dxa" w:w="110"/>
              <w:bottom w:type="dxa" w:w="70"/>
              <w:right w:type="dxa" w:w="110"/>
            </w:tcMar>
          </w:tcPr>
          <w:p>
            <w:pPr>
              <w:spacing w:after="0"/>
            </w:pPr>
            <w:r>
              <w:rPr>
                <w:b w:val="false"/>
                <w:bCs w:val="false"/>
                <w:sz w:val="19"/>
                <w:szCs w:val="19"/>
              </w:rPr>
              <w:t xml:space="preserve">List every tool explicitly</w:t>
            </w:r>
          </w:p>
        </w:tc>
      </w:tr>
      <w:tr>
        <w:tc>
          <w:tcPr>
            <w:tcW w:type="dxa" w:w="2500"/>
            <w:tcMar>
              <w:top w:type="dxa" w:w="70"/>
              <w:left w:type="dxa" w:w="110"/>
              <w:bottom w:type="dxa" w:w="70"/>
              <w:right w:type="dxa" w:w="110"/>
            </w:tcMar>
          </w:tcPr>
          <w:p>
            <w:pPr>
              <w:spacing w:after="0"/>
            </w:pPr>
            <w:r>
              <w:rPr>
                <w:b w:val="false"/>
                <w:bCs w:val="false"/>
                <w:sz w:val="19"/>
                <w:szCs w:val="19"/>
              </w:rPr>
              <w:t xml:space="preserve">Invented department names</w:t>
            </w:r>
          </w:p>
        </w:tc>
        <w:tc>
          <w:tcPr>
            <w:tcW w:type="dxa" w:w="3300"/>
            <w:tcMar>
              <w:top w:type="dxa" w:w="70"/>
              <w:left w:type="dxa" w:w="110"/>
              <w:bottom w:type="dxa" w:w="70"/>
              <w:right w:type="dxa" w:w="110"/>
            </w:tcMar>
          </w:tcPr>
          <w:p>
            <w:pPr>
              <w:spacing w:after="0"/>
            </w:pPr>
            <w:r>
              <w:rPr>
                <w:b w:val="false"/>
                <w:bCs w:val="false"/>
                <w:sz w:val="19"/>
                <w:szCs w:val="19"/>
              </w:rPr>
              <w:t xml:space="preserve">Model using training knowledge, not the schema</w:t>
            </w:r>
          </w:p>
        </w:tc>
        <w:tc>
          <w:tcPr>
            <w:tcW w:type="dxa" w:w="3560"/>
            <w:tcMar>
              <w:top w:type="dxa" w:w="70"/>
              <w:left w:type="dxa" w:w="110"/>
              <w:bottom w:type="dxa" w:w="70"/>
              <w:right w:type="dxa" w:w="110"/>
            </w:tcMar>
          </w:tcPr>
          <w:p>
            <w:pPr>
              <w:spacing w:after="0"/>
            </w:pPr>
            <w:r>
              <w:rPr>
                <w:b w:val="false"/>
                <w:bCs w:val="false"/>
                <w:sz w:val="19"/>
                <w:szCs w:val="19"/>
              </w:rPr>
              <w:t xml:space="preserve">Add table and column comments; set comments and constraints true</w:t>
            </w:r>
          </w:p>
        </w:tc>
      </w:tr>
      <w:tr>
        <w:tc>
          <w:tcPr>
            <w:tcW w:type="dxa" w:w="2500"/>
            <w:tcMar>
              <w:top w:type="dxa" w:w="70"/>
              <w:left w:type="dxa" w:w="110"/>
              <w:bottom w:type="dxa" w:w="70"/>
              <w:right w:type="dxa" w:w="110"/>
            </w:tcMar>
          </w:tcPr>
          <w:p>
            <w:pPr>
              <w:spacing w:after="0"/>
            </w:pPr>
            <w:r>
              <w:rPr>
                <w:b w:val="false"/>
                <w:bCs w:val="false"/>
                <w:sz w:val="19"/>
                <w:szCs w:val="19"/>
              </w:rPr>
              <w:t xml:space="preserve">Every call fails with ORA-20404</w:t>
            </w:r>
          </w:p>
        </w:tc>
        <w:tc>
          <w:tcPr>
            <w:tcW w:type="dxa" w:w="3300"/>
            <w:tcMar>
              <w:top w:type="dxa" w:w="70"/>
              <w:left w:type="dxa" w:w="110"/>
              <w:bottom w:type="dxa" w:w="70"/>
              <w:right w:type="dxa" w:w="110"/>
            </w:tcMar>
          </w:tcPr>
          <w:p>
            <w:pPr>
              <w:spacing w:after="0"/>
            </w:pPr>
            <w:r>
              <w:rPr>
                <w:b w:val="false"/>
                <w:bCs w:val="false"/>
                <w:sz w:val="19"/>
                <w:szCs w:val="19"/>
              </w:rPr>
              <w:t xml:space="preserve">region attribute set to the database's own region</w:t>
            </w:r>
          </w:p>
        </w:tc>
        <w:tc>
          <w:tcPr>
            <w:tcW w:type="dxa" w:w="3560"/>
            <w:tcMar>
              <w:top w:type="dxa" w:w="70"/>
              <w:left w:type="dxa" w:w="110"/>
              <w:bottom w:type="dxa" w:w="70"/>
              <w:right w:type="dxa" w:w="110"/>
            </w:tcMar>
          </w:tcPr>
          <w:p>
            <w:pPr>
              <w:spacing w:after="0"/>
            </w:pPr>
            <w:r>
              <w:rPr>
                <w:b w:val="false"/>
                <w:bCs w:val="false"/>
                <w:sz w:val="19"/>
                <w:szCs w:val="19"/>
              </w:rPr>
              <w:t xml:space="preserve">Omit region entirely</w:t>
            </w:r>
          </w:p>
        </w:tc>
      </w:tr>
      <w:tr>
        <w:tc>
          <w:tcPr>
            <w:tcW w:type="dxa" w:w="2500"/>
            <w:tcMar>
              <w:top w:type="dxa" w:w="70"/>
              <w:left w:type="dxa" w:w="110"/>
              <w:bottom w:type="dxa" w:w="70"/>
              <w:right w:type="dxa" w:w="110"/>
            </w:tcMar>
          </w:tcPr>
          <w:p>
            <w:pPr>
              <w:spacing w:after="0"/>
            </w:pPr>
            <w:r>
              <w:rPr>
                <w:b w:val="false"/>
                <w:bCs w:val="false"/>
                <w:sz w:val="19"/>
                <w:szCs w:val="19"/>
              </w:rPr>
              <w:t xml:space="preserve">RAG answers with no retrieval</w:t>
            </w:r>
          </w:p>
        </w:tc>
        <w:tc>
          <w:tcPr>
            <w:tcW w:type="dxa" w:w="3300"/>
            <w:tcMar>
              <w:top w:type="dxa" w:w="70"/>
              <w:left w:type="dxa" w:w="110"/>
              <w:bottom w:type="dxa" w:w="70"/>
              <w:right w:type="dxa" w:w="110"/>
            </w:tcMar>
          </w:tcPr>
          <w:p>
            <w:pPr>
              <w:spacing w:after="0"/>
            </w:pPr>
            <w:r>
              <w:rPr>
                <w:b w:val="false"/>
                <w:bCs w:val="false"/>
                <w:sz w:val="19"/>
                <w:szCs w:val="19"/>
              </w:rPr>
              <w:t xml:space="preserve">vector_index_name dropped when the profile was rebuilt</w:t>
            </w:r>
          </w:p>
        </w:tc>
        <w:tc>
          <w:tcPr>
            <w:tcW w:type="dxa" w:w="3560"/>
            <w:tcMar>
              <w:top w:type="dxa" w:w="70"/>
              <w:left w:type="dxa" w:w="110"/>
              <w:bottom w:type="dxa" w:w="70"/>
              <w:right w:type="dxa" w:w="110"/>
            </w:tcMar>
          </w:tcPr>
          <w:p>
            <w:pPr>
              <w:spacing w:after="0"/>
            </w:pPr>
            <w:r>
              <w:rPr>
                <w:b w:val="false"/>
                <w:bCs w:val="false"/>
                <w:sz w:val="19"/>
                <w:szCs w:val="19"/>
              </w:rPr>
              <w:t xml:space="preserve">Re-set it, then confirm with a retrieval question whose answer only exists in a document</w:t>
            </w:r>
          </w:p>
        </w:tc>
      </w:tr>
      <w:tr>
        <w:tc>
          <w:tcPr>
            <w:tcW w:type="dxa" w:w="2500"/>
            <w:tcMar>
              <w:top w:type="dxa" w:w="70"/>
              <w:left w:type="dxa" w:w="110"/>
              <w:bottom w:type="dxa" w:w="70"/>
              <w:right w:type="dxa" w:w="110"/>
            </w:tcMar>
          </w:tcPr>
          <w:p>
            <w:pPr>
              <w:spacing w:after="0"/>
            </w:pPr>
            <w:r>
              <w:rPr>
                <w:b w:val="false"/>
                <w:bCs w:val="false"/>
                <w:sz w:val="19"/>
                <w:szCs w:val="19"/>
              </w:rPr>
              <w:t xml:space="preserve">A parameter appears to be ignored</w:t>
            </w:r>
          </w:p>
        </w:tc>
        <w:tc>
          <w:tcPr>
            <w:tcW w:type="dxa" w:w="3300"/>
            <w:tcMar>
              <w:top w:type="dxa" w:w="70"/>
              <w:left w:type="dxa" w:w="110"/>
              <w:bottom w:type="dxa" w:w="70"/>
              <w:right w:type="dxa" w:w="110"/>
            </w:tcMar>
          </w:tcPr>
          <w:p>
            <w:pPr>
              <w:spacing w:after="0"/>
            </w:pPr>
            <w:r>
              <w:rPr>
                <w:b w:val="false"/>
                <w:bCs w:val="false"/>
                <w:sz w:val="19"/>
                <w:szCs w:val="19"/>
              </w:rPr>
              <w:t xml:space="preserve">Quoted lowercase parameter name accepted and discarded</w:t>
            </w:r>
          </w:p>
        </w:tc>
        <w:tc>
          <w:tcPr>
            <w:tcW w:type="dxa" w:w="3560"/>
            <w:tcMar>
              <w:top w:type="dxa" w:w="70"/>
              <w:left w:type="dxa" w:w="110"/>
              <w:bottom w:type="dxa" w:w="70"/>
              <w:right w:type="dxa" w:w="110"/>
            </w:tcMar>
          </w:tcPr>
          <w:p>
            <w:pPr>
              <w:spacing w:after="0"/>
            </w:pPr>
            <w:r>
              <w:rPr>
                <w:b w:val="false"/>
                <w:bCs w:val="false"/>
                <w:sz w:val="19"/>
                <w:szCs w:val="19"/>
              </w:rPr>
              <w:t xml:space="preserve">Match the documented case exactly</w:t>
            </w:r>
          </w:p>
        </w:tc>
      </w:tr>
    </w:tbl>
    <w:p>
      <w:pPr>
        <w:pBdr>
          <w:top w:val="single" w:color="3F7D46" w:sz="4" w:space="7"/>
          <w:bottom w:val="single" w:color="3F7D46" w:sz="4" w:space="7"/>
          <w:left w:val="single" w:color="3F7D46" w:sz="20" w:space="9"/>
          <w:right w:val="single" w:color="3F7D46" w:sz="4" w:space="7"/>
        </w:pBdr>
        <w:shd w:fill="EBF3EC" w:val="clear"/>
        <w:spacing w:after="180" w:before="120"/>
        <w:ind w:left="170" w:right="170"/>
      </w:pPr>
      <w:r>
        <w:rPr>
          <w:b/>
          <w:bCs/>
          <w:sz w:val="20"/>
          <w:szCs w:val="20"/>
        </w:rPr>
        <w:t xml:space="preserve">VERIFIED   </w:t>
      </w:r>
      <w:r>
        <w:rPr>
          <w:sz w:val="20"/>
          <w:szCs w:val="20"/>
        </w:rPr>
        <w:t xml:space="preserve">Two claims that appeared in the April draft did not survive testing and have been removed. DROP_TEAM does not leave an orphan AGENT$ profile on 23.26.3.2.0 — the object simply does not exist. And SET_ATTRIBUTE is present in both DBMS_CLOUD_AI and DBMS_CLOUD_AI_AGENT, so the claim that every change requires drop-and-recreate was wrong.</w:t>
      </w:r>
    </w:p>
    <w:p>
      <w:pPr>
        <w:pStyle w:val="Heading1"/>
        <w:spacing w:after="150" w:before="400"/>
      </w:pPr>
      <w:r>
        <w:t xml:space="preserve">9. Custom tools</w:t>
      </w:r>
    </w:p>
    <w:p>
      <w:pPr>
        <w:pStyle w:val="Heading2"/>
        <w:spacing w:after="110" w:before="300"/>
      </w:pPr>
      <w:r>
        <w:t xml:space="preserve">9.1 Overview</w:t>
      </w:r>
    </w:p>
    <w:p>
      <w:pPr>
        <w:spacing w:after="140"/>
        <w:jc w:val="both"/>
      </w:pPr>
      <w:r>
        <w:rPr>
          <w:sz w:val="21"/>
          <w:szCs w:val="21"/>
        </w:rPr>
        <w:t xml:space="preserve">Four custom tools extend the agent beyond query and retrieval. Three are PL/SQL functions; the fourth runs Python inside the database through OML4Py Embedded Python Execution. All four are registered the same way, and the agent chooses between them entirely from the task instruction and the tool descriptions — there is no routing table anywhere in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4560"/>
      </w:tblGrid>
      <w:tr>
        <w:trPr>
          <w:tblHeader/>
        </w:trPr>
        <w:tc>
          <w:tcPr>
            <w:tcW w:type="dxa" w:w="2300"/>
            <w:shd w:fill="DCE6F1" w:val="clear"/>
            <w:tcMar>
              <w:top w:type="dxa" w:w="70"/>
              <w:left w:type="dxa" w:w="110"/>
              <w:bottom w:type="dxa" w:w="70"/>
              <w:right w:type="dxa" w:w="110"/>
            </w:tcMar>
          </w:tcPr>
          <w:p>
            <w:pPr>
              <w:spacing w:after="0"/>
            </w:pPr>
            <w:r>
              <w:rPr>
                <w:b/>
                <w:bCs/>
                <w:sz w:val="19"/>
                <w:szCs w:val="19"/>
              </w:rPr>
              <w:t xml:space="preserve">Tool</w:t>
            </w:r>
          </w:p>
        </w:tc>
        <w:tc>
          <w:tcPr>
            <w:tcW w:type="dxa" w:w="2500"/>
            <w:shd w:fill="DCE6F1" w:val="clear"/>
            <w:tcMar>
              <w:top w:type="dxa" w:w="70"/>
              <w:left w:type="dxa" w:w="110"/>
              <w:bottom w:type="dxa" w:w="70"/>
              <w:right w:type="dxa" w:w="110"/>
            </w:tcMar>
          </w:tcPr>
          <w:p>
            <w:pPr>
              <w:spacing w:after="0"/>
            </w:pPr>
            <w:r>
              <w:rPr>
                <w:b/>
                <w:bCs/>
                <w:sz w:val="19"/>
                <w:szCs w:val="19"/>
              </w:rPr>
              <w:t xml:space="preserve">Implementation</w:t>
            </w:r>
          </w:p>
        </w:tc>
        <w:tc>
          <w:tcPr>
            <w:tcW w:type="dxa" w:w="4560"/>
            <w:shd w:fill="DCE6F1" w:val="clear"/>
            <w:tcMar>
              <w:top w:type="dxa" w:w="70"/>
              <w:left w:type="dxa" w:w="110"/>
              <w:bottom w:type="dxa" w:w="70"/>
              <w:right w:type="dxa" w:w="110"/>
            </w:tcMar>
          </w:tcPr>
          <w:p>
            <w:pPr>
              <w:spacing w:after="0"/>
            </w:pPr>
            <w:r>
              <w:rPr>
                <w:b/>
                <w:bCs/>
                <w:sz w:val="19"/>
                <w:szCs w:val="19"/>
              </w:rPr>
              <w:t xml:space="preserve">Answers</w:t>
            </w:r>
          </w:p>
        </w:tc>
      </w:tr>
      <w:tr>
        <w:tc>
          <w:tcPr>
            <w:tcW w:type="dxa" w:w="2300"/>
            <w:tcMar>
              <w:top w:type="dxa" w:w="70"/>
              <w:left w:type="dxa" w:w="110"/>
              <w:bottom w:type="dxa" w:w="70"/>
              <w:right w:type="dxa" w:w="110"/>
            </w:tcMar>
          </w:tcPr>
          <w:p>
            <w:pPr>
              <w:spacing w:after="0"/>
            </w:pPr>
            <w:r>
              <w:rPr>
                <w:rFonts w:ascii="Consolas" w:cs="Consolas" w:eastAsia="Consolas" w:hAnsi="Consolas"/>
                <w:b w:val="false"/>
                <w:bCs w:val="false"/>
                <w:sz w:val="19"/>
                <w:szCs w:val="19"/>
              </w:rPr>
              <w:t xml:space="preserve">ACME_TREND_TOOL</w:t>
            </w:r>
          </w:p>
        </w:tc>
        <w:tc>
          <w:tcPr>
            <w:tcW w:type="dxa" w:w="2500"/>
            <w:tcMar>
              <w:top w:type="dxa" w:w="70"/>
              <w:left w:type="dxa" w:w="110"/>
              <w:bottom w:type="dxa" w:w="70"/>
              <w:right w:type="dxa" w:w="110"/>
            </w:tcMar>
          </w:tcPr>
          <w:p>
            <w:pPr>
              <w:spacing w:after="0"/>
            </w:pPr>
            <w:r>
              <w:rPr>
                <w:b w:val="false"/>
                <w:bCs w:val="false"/>
                <w:sz w:val="19"/>
                <w:szCs w:val="19"/>
              </w:rPr>
              <w:t xml:space="preserve">PL/SQL</w:t>
            </w:r>
          </w:p>
        </w:tc>
        <w:tc>
          <w:tcPr>
            <w:tcW w:type="dxa" w:w="4560"/>
            <w:tcMar>
              <w:top w:type="dxa" w:w="70"/>
              <w:left w:type="dxa" w:w="110"/>
              <w:bottom w:type="dxa" w:w="70"/>
              <w:right w:type="dxa" w:w="110"/>
            </w:tcMar>
          </w:tcPr>
          <w:p>
            <w:pPr>
              <w:spacing w:after="0"/>
            </w:pPr>
            <w:r>
              <w:rPr>
                <w:b w:val="false"/>
                <w:bCs w:val="false"/>
                <w:sz w:val="19"/>
                <w:szCs w:val="19"/>
              </w:rPr>
              <w:t xml:space="preserve">Period-over-period growth rate and direction</w:t>
            </w:r>
          </w:p>
        </w:tc>
      </w:tr>
      <w:tr>
        <w:tc>
          <w:tcPr>
            <w:tcW w:type="dxa" w:w="2300"/>
            <w:tcMar>
              <w:top w:type="dxa" w:w="70"/>
              <w:left w:type="dxa" w:w="110"/>
              <w:bottom w:type="dxa" w:w="70"/>
              <w:right w:type="dxa" w:w="110"/>
            </w:tcMar>
          </w:tcPr>
          <w:p>
            <w:pPr>
              <w:spacing w:after="0"/>
            </w:pPr>
            <w:r>
              <w:rPr>
                <w:rFonts w:ascii="Consolas" w:cs="Consolas" w:eastAsia="Consolas" w:hAnsi="Consolas"/>
                <w:b w:val="false"/>
                <w:bCs w:val="false"/>
                <w:sz w:val="19"/>
                <w:szCs w:val="19"/>
              </w:rPr>
              <w:t xml:space="preserve">ACME_FORECAST_TOOL</w:t>
            </w:r>
          </w:p>
        </w:tc>
        <w:tc>
          <w:tcPr>
            <w:tcW w:type="dxa" w:w="2500"/>
            <w:tcMar>
              <w:top w:type="dxa" w:w="70"/>
              <w:left w:type="dxa" w:w="110"/>
              <w:bottom w:type="dxa" w:w="70"/>
              <w:right w:type="dxa" w:w="110"/>
            </w:tcMar>
          </w:tcPr>
          <w:p>
            <w:pPr>
              <w:spacing w:after="0"/>
            </w:pPr>
            <w:r>
              <w:rPr>
                <w:b w:val="false"/>
                <w:bCs w:val="false"/>
                <w:sz w:val="19"/>
                <w:szCs w:val="19"/>
              </w:rPr>
              <w:t xml:space="preserve">PL/SQL, linear regression</w:t>
            </w:r>
          </w:p>
        </w:tc>
        <w:tc>
          <w:tcPr>
            <w:tcW w:type="dxa" w:w="4560"/>
            <w:tcMar>
              <w:top w:type="dxa" w:w="70"/>
              <w:left w:type="dxa" w:w="110"/>
              <w:bottom w:type="dxa" w:w="70"/>
              <w:right w:type="dxa" w:w="110"/>
            </w:tcMar>
          </w:tcPr>
          <w:p>
            <w:pPr>
              <w:spacing w:after="0"/>
            </w:pPr>
            <w:r>
              <w:rPr>
                <w:b w:val="false"/>
                <w:bCs w:val="false"/>
                <w:sz w:val="19"/>
                <w:szCs w:val="19"/>
              </w:rPr>
              <w:t xml:space="preserve">Projected spend for future periods</w:t>
            </w:r>
          </w:p>
        </w:tc>
      </w:tr>
      <w:tr>
        <w:tc>
          <w:tcPr>
            <w:tcW w:type="dxa" w:w="2300"/>
            <w:tcMar>
              <w:top w:type="dxa" w:w="70"/>
              <w:left w:type="dxa" w:w="110"/>
              <w:bottom w:type="dxa" w:w="70"/>
              <w:right w:type="dxa" w:w="110"/>
            </w:tcMar>
          </w:tcPr>
          <w:p>
            <w:pPr>
              <w:spacing w:after="0"/>
            </w:pPr>
            <w:r>
              <w:rPr>
                <w:rFonts w:ascii="Consolas" w:cs="Consolas" w:eastAsia="Consolas" w:hAnsi="Consolas"/>
                <w:b w:val="false"/>
                <w:bCs w:val="false"/>
                <w:sz w:val="19"/>
                <w:szCs w:val="19"/>
              </w:rPr>
              <w:t xml:space="preserve">ACME_ANOMALY_TOOL</w:t>
            </w:r>
          </w:p>
        </w:tc>
        <w:tc>
          <w:tcPr>
            <w:tcW w:type="dxa" w:w="2500"/>
            <w:tcMar>
              <w:top w:type="dxa" w:w="70"/>
              <w:left w:type="dxa" w:w="110"/>
              <w:bottom w:type="dxa" w:w="70"/>
              <w:right w:type="dxa" w:w="110"/>
            </w:tcMar>
          </w:tcPr>
          <w:p>
            <w:pPr>
              <w:spacing w:after="0"/>
            </w:pPr>
            <w:r>
              <w:rPr>
                <w:b w:val="false"/>
                <w:bCs w:val="false"/>
                <w:sz w:val="19"/>
                <w:szCs w:val="19"/>
              </w:rPr>
              <w:t xml:space="preserve">PL/SQL, threshold test</w:t>
            </w:r>
          </w:p>
        </w:tc>
        <w:tc>
          <w:tcPr>
            <w:tcW w:type="dxa" w:w="4560"/>
            <w:tcMar>
              <w:top w:type="dxa" w:w="70"/>
              <w:left w:type="dxa" w:w="110"/>
              <w:bottom w:type="dxa" w:w="70"/>
              <w:right w:type="dxa" w:w="110"/>
            </w:tcMar>
          </w:tcPr>
          <w:p>
            <w:pPr>
              <w:spacing w:after="0"/>
            </w:pPr>
            <w:r>
              <w:rPr>
                <w:b w:val="false"/>
                <w:bCs w:val="false"/>
                <w:sz w:val="19"/>
                <w:szCs w:val="19"/>
              </w:rPr>
              <w:t xml:space="preserve">Periods deviating from the mean by more than a percentage</w:t>
            </w:r>
          </w:p>
        </w:tc>
      </w:tr>
      <w:tr>
        <w:tc>
          <w:tcPr>
            <w:tcW w:type="dxa" w:w="2300"/>
            <w:tcMar>
              <w:top w:type="dxa" w:w="70"/>
              <w:left w:type="dxa" w:w="110"/>
              <w:bottom w:type="dxa" w:w="70"/>
              <w:right w:type="dxa" w:w="110"/>
            </w:tcMar>
          </w:tcPr>
          <w:p>
            <w:pPr>
              <w:spacing w:after="0"/>
            </w:pPr>
            <w:r>
              <w:rPr>
                <w:rFonts w:ascii="Consolas" w:cs="Consolas" w:eastAsia="Consolas" w:hAnsi="Consolas"/>
                <w:b w:val="false"/>
                <w:bCs w:val="false"/>
                <w:sz w:val="19"/>
                <w:szCs w:val="19"/>
              </w:rPr>
              <w:t xml:space="preserve">ACME_PYTHON_TOOL</w:t>
            </w:r>
          </w:p>
        </w:tc>
        <w:tc>
          <w:tcPr>
            <w:tcW w:type="dxa" w:w="2500"/>
            <w:tcMar>
              <w:top w:type="dxa" w:w="70"/>
              <w:left w:type="dxa" w:w="110"/>
              <w:bottom w:type="dxa" w:w="70"/>
              <w:right w:type="dxa" w:w="110"/>
            </w:tcMar>
          </w:tcPr>
          <w:p>
            <w:pPr>
              <w:spacing w:after="0"/>
            </w:pPr>
            <w:r>
              <w:rPr>
                <w:b w:val="false"/>
                <w:bCs w:val="false"/>
                <w:sz w:val="19"/>
                <w:szCs w:val="19"/>
              </w:rPr>
              <w:t xml:space="preserve">OML4Py, numpy and pandas</w:t>
            </w:r>
          </w:p>
        </w:tc>
        <w:tc>
          <w:tcPr>
            <w:tcW w:type="dxa" w:w="4560"/>
            <w:tcMar>
              <w:top w:type="dxa" w:w="70"/>
              <w:left w:type="dxa" w:w="110"/>
              <w:bottom w:type="dxa" w:w="70"/>
              <w:right w:type="dxa" w:w="110"/>
            </w:tcMar>
          </w:tcPr>
          <w:p>
            <w:pPr>
              <w:spacing w:after="0"/>
            </w:pPr>
            <w:r>
              <w:rPr>
                <w:b w:val="false"/>
                <w:bCs w:val="false"/>
                <w:sz w:val="19"/>
                <w:szCs w:val="19"/>
              </w:rPr>
              <w:t xml:space="preserve">Mean, standard deviation, moving averages, peak period</w:t>
            </w:r>
          </w:p>
        </w:tc>
      </w:tr>
    </w:tbl>
    <w:p>
      <w:pPr>
        <w:pStyle w:val="Heading2"/>
        <w:spacing w:after="110" w:before="300"/>
      </w:pPr>
      <w:r>
        <w:t xml:space="preserve">9.2 Test data</w:t>
      </w:r>
    </w:p>
    <w:p>
      <w:pPr>
        <w:spacing w:after="140"/>
        <w:jc w:val="both"/>
      </w:pPr>
      <w:r>
        <w:rPr>
          <w:sz w:val="21"/>
          <w:szCs w:val="21"/>
        </w:rPr>
        <w:t xml:space="preserve">The ledger carries several years of monthly totals across a handful of departments, with deliberate spikes so the anomaly and trend tools have something to find. Without engineered outliers these tools return technically correct and completely uninteresting answers, which makes them impossible to demonstrate.</w:t>
      </w:r>
    </w:p>
    <w:p>
      <w:pPr>
        <w:pStyle w:val="Heading2"/>
        <w:spacing w:after="110" w:before="300"/>
      </w:pPr>
      <w:r>
        <w:t xml:space="preserve">9.3 Trend, forecast and anomaly tools</w:t>
      </w:r>
    </w:p>
    <w:p>
      <w:pPr>
        <w:spacing w:after="140"/>
        <w:jc w:val="both"/>
      </w:pPr>
      <w:r>
        <w:rPr>
          <w:sz w:val="21"/>
          <w:szCs w:val="21"/>
        </w:rPr>
        <w:t xml:space="preserve">Each is an ordinary PL/SQL function returning a VARCHAR2 of JSON. The registration is what makes it a tool:</w:t>
      </w:r>
    </w:p>
    <w:p>
      <w:pPr>
        <w:pBdr>
          <w:left w:val="single" w:color="1F4E79" w:sz="14" w:space="8"/>
        </w:pBdr>
        <w:shd w:fill="F4F6F8" w:val="clear"/>
        <w:spacing w:after="0" w:before="100" w:line="250"/>
        <w:ind w:left="220" w:right="120"/>
      </w:pPr>
      <w:r>
        <w:rPr>
          <w:rFonts w:ascii="Consolas" w:cs="Consolas" w:eastAsia="Consolas" w:hAnsi="Consolas"/>
          <w:sz w:val="17"/>
          <w:szCs w:val="17"/>
        </w:rPr>
        <w:t xml:space="preserve">BEGIN</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DBMS_CLOUD_AI_AGENT.CREATE_TOOL(</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tool_name  =&gt; 'ACME_TREND_TOOL',</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attributes =&gt; '{</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"tool_type"  : "PLSQL",</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"function"   : "acme_trend_analysis",</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"description": "Analyze expense trends over time for a department. Use for growth rate, direction, and period-over-period comparison questions."</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END;</w:t>
      </w:r>
    </w:p>
    <w:p>
      <w:pPr>
        <w:pBdr>
          <w:left w:val="single" w:color="1F4E79" w:sz="14" w:space="8"/>
        </w:pBdr>
        <w:shd w:fill="F4F6F8" w:val="clear"/>
        <w:spacing w:after="160" w:before="0" w:line="250"/>
        <w:ind w:left="220" w:right="120"/>
      </w:pPr>
      <w:r>
        <w:rPr>
          <w:rFonts w:ascii="Consolas" w:cs="Consolas" w:eastAsia="Consolas" w:hAnsi="Consolas"/>
          <w:sz w:val="17"/>
          <w:szCs w:val="17"/>
        </w:rPr>
        <w:t xml:space="preserve">/</w:t>
      </w:r>
    </w:p>
    <w:p>
      <w:pPr>
        <w:spacing w:after="140"/>
        <w:jc w:val="both"/>
      </w:pPr>
      <w:r>
        <w:rPr>
          <w:sz w:val="21"/>
          <w:szCs w:val="21"/>
        </w:rPr>
        <w:t xml:space="preserve">The description is not documentation. It is the routing logic — the only thing the agent reads when deciding whether this tool answers the question in front of it. A vague description produces a tool that is never called, and no error anywhere explains why.</w:t>
      </w:r>
    </w:p>
    <w:p>
      <w:pPr>
        <w:pBdr>
          <w:top w:val="single" w:color="C87F0A" w:sz="4" w:space="7"/>
          <w:bottom w:val="single" w:color="C87F0A" w:sz="4" w:space="7"/>
          <w:left w:val="single" w:color="C87F0A" w:sz="20" w:space="9"/>
          <w:right w:val="single" w:color="C87F0A" w:sz="4" w:space="7"/>
        </w:pBdr>
        <w:shd w:fill="FDF3E3" w:val="clear"/>
        <w:spacing w:after="180" w:before="120"/>
        <w:ind w:left="170" w:right="170"/>
      </w:pPr>
      <w:r>
        <w:rPr>
          <w:b/>
          <w:bCs/>
          <w:sz w:val="20"/>
          <w:szCs w:val="20"/>
        </w:rPr>
        <w:t xml:space="preserve">CAUTION   </w:t>
      </w:r>
      <w:r>
        <w:rPr>
          <w:sz w:val="20"/>
          <w:szCs w:val="20"/>
        </w:rPr>
        <w:t xml:space="preserve">The function parameters are never declared to the agent. It introspects them from the data dictionary and infers values from the question. If a parameter is not obviously derivable from natural language, give it a default rather than expecting the agent to supply it.</w:t>
      </w:r>
    </w:p>
    <w:p>
      <w:pPr>
        <w:pStyle w:val="Heading2"/>
        <w:spacing w:after="110" w:before="300"/>
      </w:pPr>
      <w:r>
        <w:t xml:space="preserve">9.4 Reconciling SQL and Python statistics</w:t>
      </w:r>
    </w:p>
    <w:p>
      <w:pPr>
        <w:spacing w:after="140"/>
        <w:jc w:val="both"/>
      </w:pPr>
      <w:r>
        <w:rPr>
          <w:sz w:val="21"/>
          <w:szCs w:val="21"/>
        </w:rPr>
        <w:t xml:space="preserve">The same question asked three ways produced three different numbers: 50,676.67 from SQL, 43,698.14 from the anomaly tool, and 41,199.01 from Python. All three were arithmetically correct and computing different things.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shd w:fill="DCE6F1" w:val="clear"/>
            <w:tcMar>
              <w:top w:type="dxa" w:w="70"/>
              <w:left w:type="dxa" w:w="110"/>
              <w:bottom w:type="dxa" w:w="70"/>
              <w:right w:type="dxa" w:w="110"/>
            </w:tcMar>
          </w:tcPr>
          <w:p>
            <w:pPr>
              <w:spacing w:after="0"/>
            </w:pPr>
            <w:r>
              <w:rPr>
                <w:b/>
                <w:bCs/>
                <w:sz w:val="19"/>
                <w:szCs w:val="19"/>
              </w:rPr>
              <w:t xml:space="preserve">Source</w:t>
            </w:r>
          </w:p>
        </w:tc>
        <w:tc>
          <w:tcPr>
            <w:tcW w:type="dxa" w:w="3400"/>
            <w:shd w:fill="DCE6F1" w:val="clear"/>
            <w:tcMar>
              <w:top w:type="dxa" w:w="70"/>
              <w:left w:type="dxa" w:w="110"/>
              <w:bottom w:type="dxa" w:w="70"/>
              <w:right w:type="dxa" w:w="110"/>
            </w:tcMar>
          </w:tcPr>
          <w:p>
            <w:pPr>
              <w:spacing w:after="0"/>
            </w:pPr>
            <w:r>
              <w:rPr>
                <w:b/>
                <w:bCs/>
                <w:sz w:val="19"/>
                <w:szCs w:val="19"/>
              </w:rPr>
              <w:t xml:space="preserve">Function</w:t>
            </w:r>
          </w:p>
        </w:tc>
        <w:tc>
          <w:tcPr>
            <w:tcW w:type="dxa" w:w="3360"/>
            <w:shd w:fill="DCE6F1" w:val="clear"/>
            <w:tcMar>
              <w:top w:type="dxa" w:w="70"/>
              <w:left w:type="dxa" w:w="110"/>
              <w:bottom w:type="dxa" w:w="70"/>
              <w:right w:type="dxa" w:w="110"/>
            </w:tcMar>
          </w:tcPr>
          <w:p>
            <w:pPr>
              <w:spacing w:after="0"/>
            </w:pPr>
            <w:r>
              <w:rPr>
                <w:b/>
                <w:bCs/>
                <w:sz w:val="19"/>
                <w:szCs w:val="19"/>
              </w:rPr>
              <w:t xml:space="preserve">Divisor</w:t>
            </w:r>
          </w:p>
        </w:tc>
      </w:tr>
      <w:tr>
        <w:tc>
          <w:tcPr>
            <w:tcW w:type="dxa" w:w="2600"/>
            <w:tcMar>
              <w:top w:type="dxa" w:w="70"/>
              <w:left w:type="dxa" w:w="110"/>
              <w:bottom w:type="dxa" w:w="70"/>
              <w:right w:type="dxa" w:w="110"/>
            </w:tcMar>
          </w:tcPr>
          <w:p>
            <w:pPr>
              <w:spacing w:after="0"/>
            </w:pPr>
            <w:r>
              <w:rPr>
                <w:b w:val="false"/>
                <w:bCs w:val="false"/>
                <w:sz w:val="19"/>
                <w:szCs w:val="19"/>
              </w:rPr>
              <w:t xml:space="preserve">Oracle SQL</w:t>
            </w:r>
          </w:p>
        </w:tc>
        <w:tc>
          <w:tcPr>
            <w:tcW w:type="dxa" w:w="3400"/>
            <w:tcMar>
              <w:top w:type="dxa" w:w="70"/>
              <w:left w:type="dxa" w:w="110"/>
              <w:bottom w:type="dxa" w:w="70"/>
              <w:right w:type="dxa" w:w="110"/>
            </w:tcMar>
          </w:tcPr>
          <w:p>
            <w:pPr>
              <w:spacing w:after="0"/>
            </w:pPr>
            <w:r>
              <w:rPr>
                <w:rFonts w:ascii="Consolas" w:cs="Consolas" w:eastAsia="Consolas" w:hAnsi="Consolas"/>
                <w:b w:val="false"/>
                <w:bCs w:val="false"/>
                <w:sz w:val="19"/>
                <w:szCs w:val="19"/>
              </w:rPr>
              <w:t xml:space="preserve">STDDEV()</w:t>
            </w:r>
          </w:p>
        </w:tc>
        <w:tc>
          <w:tcPr>
            <w:tcW w:type="dxa" w:w="3360"/>
            <w:tcMar>
              <w:top w:type="dxa" w:w="70"/>
              <w:left w:type="dxa" w:w="110"/>
              <w:bottom w:type="dxa" w:w="70"/>
              <w:right w:type="dxa" w:w="110"/>
            </w:tcMar>
          </w:tcPr>
          <w:p>
            <w:pPr>
              <w:spacing w:after="0"/>
            </w:pPr>
            <w:r>
              <w:rPr>
                <w:b w:val="false"/>
                <w:bCs w:val="false"/>
                <w:sz w:val="19"/>
                <w:szCs w:val="19"/>
              </w:rPr>
              <w:t xml:space="preserve">n − 1 (sample)</w:t>
            </w:r>
          </w:p>
        </w:tc>
      </w:tr>
      <w:tr>
        <w:tc>
          <w:tcPr>
            <w:tcW w:type="dxa" w:w="2600"/>
            <w:tcMar>
              <w:top w:type="dxa" w:w="70"/>
              <w:left w:type="dxa" w:w="110"/>
              <w:bottom w:type="dxa" w:w="70"/>
              <w:right w:type="dxa" w:w="110"/>
            </w:tcMar>
          </w:tcPr>
          <w:p>
            <w:pPr>
              <w:spacing w:after="0"/>
            </w:pPr>
            <w:r>
              <w:rPr>
                <w:b w:val="false"/>
                <w:bCs w:val="false"/>
                <w:sz w:val="19"/>
                <w:szCs w:val="19"/>
              </w:rPr>
              <w:t xml:space="preserve">numpy</w:t>
            </w:r>
          </w:p>
        </w:tc>
        <w:tc>
          <w:tcPr>
            <w:tcW w:type="dxa" w:w="3400"/>
            <w:tcMar>
              <w:top w:type="dxa" w:w="70"/>
              <w:left w:type="dxa" w:w="110"/>
              <w:bottom w:type="dxa" w:w="70"/>
              <w:right w:type="dxa" w:w="110"/>
            </w:tcMar>
          </w:tcPr>
          <w:p>
            <w:pPr>
              <w:spacing w:after="0"/>
            </w:pPr>
            <w:r>
              <w:rPr>
                <w:b w:val="false"/>
                <w:bCs w:val="false"/>
                <w:sz w:val="19"/>
                <w:szCs w:val="19"/>
              </w:rPr>
              <w:t xml:space="preserve">numpy.std()</w:t>
            </w:r>
          </w:p>
        </w:tc>
        <w:tc>
          <w:tcPr>
            <w:tcW w:type="dxa" w:w="3360"/>
            <w:tcMar>
              <w:top w:type="dxa" w:w="70"/>
              <w:left w:type="dxa" w:w="110"/>
              <w:bottom w:type="dxa" w:w="70"/>
              <w:right w:type="dxa" w:w="110"/>
            </w:tcMar>
          </w:tcPr>
          <w:p>
            <w:pPr>
              <w:spacing w:after="0"/>
            </w:pPr>
            <w:r>
              <w:rPr>
                <w:b w:val="false"/>
                <w:bCs w:val="false"/>
                <w:sz w:val="19"/>
                <w:szCs w:val="19"/>
              </w:rPr>
              <w:t xml:space="preserve">n (population)</w:t>
            </w:r>
          </w:p>
        </w:tc>
      </w:tr>
    </w:tbl>
    <w:p>
      <w:pPr>
        <w:spacing w:after="140"/>
        <w:jc w:val="both"/>
      </w:pPr>
      <w:r>
        <w:rPr>
          <w:sz w:val="21"/>
          <w:szCs w:val="21"/>
        </w:rPr>
        <w:t xml:space="preserve">Use STDDEV_POP() in SQL when the two must agree, or pass ddof=1 to numpy. Pick one and state it in the tool description, so the agent can tell the user which convention produced the figure.</w:t>
      </w:r>
    </w:p>
    <w:p>
      <w:pPr>
        <w:pStyle w:val="Heading2"/>
        <w:spacing w:after="110" w:before="300"/>
      </w:pPr>
      <w:r>
        <w:t xml:space="preserve">9.5 The Python tool — OML4Py Embedded Python Execution</w:t>
      </w:r>
    </w:p>
    <w:p>
      <w:pPr>
        <w:spacing w:after="140"/>
        <w:jc w:val="both"/>
      </w:pPr>
      <w:r>
        <w:rPr>
          <w:sz w:val="21"/>
          <w:szCs w:val="21"/>
        </w:rPr>
        <w:t xml:space="preserve">The most involved of the four. A PL/SQL wrapper serializes ledger rows to JSON, hands them to a Python function running in the database’s own Python engine via pyqEval, and returns the result. There is no oml.connect() call, but the data does travel through the database’s OML REST endpoint — which is why the host ACL in section 9.6 is required — and the statistics that come back are passed to the model like any other tool output.</w:t>
      </w:r>
    </w:p>
    <w:p>
      <w:pPr>
        <w:pStyle w:val="Heading3"/>
        <w:spacing w:after="90" w:before="230"/>
      </w:pPr>
      <w:r>
        <w:t xml:space="preserve">Token strategy</w:t>
      </w:r>
    </w:p>
    <w:p>
      <w:pPr>
        <w:spacing w:after="140"/>
        <w:jc w:val="both"/>
      </w:pPr>
      <w:r>
        <w:rPr>
          <w:sz w:val="21"/>
          <w:szCs w:val="21"/>
        </w:rPr>
        <w:t xml:space="preserve">The OML auth token expires roughly hourly, so the wrapper refreshes it on every call. The password needed for that exchange is read from OCI Vault at run time using the database's own Resource Principal — it is never stored in the function body.</w:t>
      </w:r>
    </w:p>
    <w:p>
      <w:pPr>
        <w:pBdr>
          <w:left w:val="single" w:color="1F4E79" w:sz="14" w:space="8"/>
        </w:pBdr>
        <w:shd w:fill="F4F6F8" w:val="clear"/>
        <w:spacing w:after="0" w:before="100" w:line="250"/>
        <w:ind w:left="220" w:right="120"/>
      </w:pPr>
      <w:r>
        <w:rPr>
          <w:rFonts w:ascii="Consolas" w:cs="Consolas" w:eastAsia="Consolas" w:hAnsi="Consolas"/>
          <w:sz w:val="17"/>
          <w:szCs w:val="17"/>
        </w:rPr>
        <w:t xml:space="preserve">FUNCTION acme_get_secret(p_secret_ocid VARCHAR2) RETURN VARCHAR2 IS</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v_resp DBMS_CLOUD_TYPES.resp;</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v_b64  VARCHAR2(32767);</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BEGIN</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v_resp := DBMS_CLOUD.SEND_REQUEST(</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credential_name =&gt; 'OCI$RESOURCE_PRINCIPAL',</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uri  =&gt; 'https://secrets.vaults.&lt;your-region&gt;.oci.oraclecloud.com'</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 '/20190301/secretbundles/' || p_secret_ocid,</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method =&gt; 'GET');</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v_b64 := JSON_VALUE(DBMS_CLOUD.GET_RESPONSE_TEXT(v_resp),</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'$.secretBundleContent.content');</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RETURN UTL_RAW.CAST_TO_VARCHAR2(</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UTL_ENCODE.BASE64_DECODE(UTL_RAW.CAST_TO_RAW(v_b64)));</w:t>
      </w:r>
    </w:p>
    <w:p>
      <w:pPr>
        <w:pBdr>
          <w:left w:val="single" w:color="1F4E79" w:sz="14" w:space="8"/>
        </w:pBdr>
        <w:shd w:fill="F4F6F8" w:val="clear"/>
        <w:spacing w:after="160" w:before="0" w:line="250"/>
        <w:ind w:left="220" w:right="120"/>
      </w:pPr>
      <w:r>
        <w:rPr>
          <w:rFonts w:ascii="Consolas" w:cs="Consolas" w:eastAsia="Consolas" w:hAnsi="Consolas"/>
          <w:sz w:val="17"/>
          <w:szCs w:val="17"/>
        </w:rPr>
        <w:t xml:space="preserve">END;</w:t>
      </w:r>
    </w:p>
    <w:p>
      <w:pPr>
        <w:pBdr>
          <w:left w:val="single" w:color="1F4E79" w:sz="14" w:space="8"/>
        </w:pBdr>
        <w:shd w:fill="F4F6F8" w:val="clear"/>
        <w:spacing w:after="0" w:before="100" w:line="250"/>
        <w:ind w:left="220" w:right="120"/>
      </w:pPr>
      <w:r>
        <w:rPr>
          <w:rFonts w:ascii="Consolas" w:cs="Consolas" w:eastAsia="Consolas" w:hAnsi="Consolas"/>
          <w:sz w:val="17"/>
          <w:szCs w:val="17"/>
        </w:rPr>
        <w:t xml:space="preserve">-- inside the tool wrapper, on every call</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v_pwd := acme_get_secret('&lt;your-vault-secret-ocid&gt;');</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v_http_resp := DBMS_CLOUD.SEND_REQUEST(</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credential_name =&gt; 'OCI$RESOURCE_PRINCIPAL',</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uri    =&gt; 'https://&lt;your-adb-id&gt;-&lt;YOURDB&gt;.adb.&lt;your-region&gt;.oraclecloudapps.com'</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 '/omlusers/api/oauth2/v1/token',</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method =&gt; 'POST',</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body   =&gt; UTL_RAW.CAST_TO_RAW(</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'{"grant_type":"password","username":"ACME_CORP",'</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 '"password":"' || v_pwd || '"}'));</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w:t>
      </w:r>
    </w:p>
    <w:p>
      <w:pPr>
        <w:pBdr>
          <w:left w:val="single" w:color="1F4E79" w:sz="14" w:space="8"/>
        </w:pBdr>
        <w:shd w:fill="F4F6F8" w:val="clear"/>
        <w:spacing w:after="160" w:before="0" w:line="250"/>
        <w:ind w:left="220" w:right="120"/>
      </w:pPr>
      <w:r>
        <w:rPr>
          <w:rFonts w:ascii="Consolas" w:cs="Consolas" w:eastAsia="Consolas" w:hAnsi="Consolas"/>
          <w:sz w:val="17"/>
          <w:szCs w:val="17"/>
        </w:rPr>
        <w:t xml:space="preserve">sys.pyqSetAuthToken(JSON_VALUE(DBMS_CLOUD.GET_RESPONSE_TEXT(v_http_resp), '$.accessToken'));</w:t>
      </w:r>
    </w:p>
    <w:p>
      <w:pPr>
        <w:pBdr>
          <w:top w:val="single" w:color="C87F0A" w:sz="4" w:space="7"/>
          <w:bottom w:val="single" w:color="C87F0A" w:sz="4" w:space="7"/>
          <w:left w:val="single" w:color="C87F0A" w:sz="20" w:space="9"/>
          <w:right w:val="single" w:color="C87F0A" w:sz="4" w:space="7"/>
        </w:pBdr>
        <w:shd w:fill="FDF3E3" w:val="clear"/>
        <w:spacing w:after="180" w:before="120"/>
        <w:ind w:left="170" w:right="170"/>
      </w:pPr>
      <w:r>
        <w:rPr>
          <w:b/>
          <w:bCs/>
          <w:sz w:val="20"/>
          <w:szCs w:val="20"/>
        </w:rPr>
        <w:t xml:space="preserve">CAUTION   </w:t>
      </w:r>
      <w:r>
        <w:rPr>
          <w:sz w:val="20"/>
          <w:szCs w:val="20"/>
        </w:rPr>
        <w:t xml:space="preserve">An earlier design stored the password in a DBMS_CLOUD credential and re-read it on each call. Oracle does not support retrieving a stored credential's password back out through SQL, so that approach cannot work — and because the wrapper swallowed the failure, it appeared to work for as long as a manually set token remained valid. Reading from Vault is what makes the refresh genuinely automatic.</w:t>
      </w:r>
    </w:p>
    <w:p>
      <w:pPr>
        <w:pBdr>
          <w:top w:val="single" w:color="3F7D46" w:sz="4" w:space="7"/>
          <w:bottom w:val="single" w:color="3F7D46" w:sz="4" w:space="7"/>
          <w:left w:val="single" w:color="3F7D46" w:sz="20" w:space="9"/>
          <w:right w:val="single" w:color="3F7D46" w:sz="4" w:space="7"/>
        </w:pBdr>
        <w:shd w:fill="EBF3EC" w:val="clear"/>
        <w:spacing w:after="180" w:before="120"/>
        <w:ind w:left="170" w:right="170"/>
      </w:pPr>
      <w:r>
        <w:rPr>
          <w:b/>
          <w:bCs/>
          <w:sz w:val="20"/>
          <w:szCs w:val="20"/>
        </w:rPr>
        <w:t xml:space="preserve">VERIFIED   </w:t>
      </w:r>
      <w:r>
        <w:rPr>
          <w:sz w:val="20"/>
          <w:szCs w:val="20"/>
        </w:rPr>
        <w:t xml:space="preserve">Traced end to end: Vault password retrieved, HTTP 200 from the token endpoint, a 1,221-character token returned, pyqSetAuthToken accepted it, and the Python function returned numpy statistics.</w:t>
      </w:r>
    </w:p>
    <w:p>
      <w:pPr>
        <w:pStyle w:val="Heading2"/>
        <w:spacing w:after="110" w:before="300"/>
      </w:pPr>
      <w:r>
        <w:t xml:space="preserve">9.6 EPE setup requirements</w:t>
      </w:r>
    </w:p>
    <w:p>
      <w:pPr>
        <w:spacing w:after="140"/>
        <w:jc w:val="both"/>
      </w:pPr>
      <w:r>
        <w:rPr>
          <w:sz w:val="21"/>
          <w:szCs w:val="21"/>
        </w:rPr>
        <w:t xml:space="preserve">Getting pyqEval working required five distinct steps. Each missing step produces a different error, and none of them is obvious from the error text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4760"/>
      </w:tblGrid>
      <w:tr>
        <w:trPr>
          <w:tblHeader/>
        </w:trPr>
        <w:tc>
          <w:tcPr>
            <w:tcW w:type="dxa" w:w="700"/>
            <w:shd w:fill="DCE6F1" w:val="clear"/>
            <w:tcMar>
              <w:top w:type="dxa" w:w="70"/>
              <w:left w:type="dxa" w:w="110"/>
              <w:bottom w:type="dxa" w:w="70"/>
              <w:right w:type="dxa" w:w="110"/>
            </w:tcMar>
          </w:tcPr>
          <w:p>
            <w:pPr>
              <w:spacing w:after="0"/>
            </w:pPr>
            <w:r>
              <w:rPr>
                <w:b/>
                <w:bCs/>
                <w:sz w:val="19"/>
                <w:szCs w:val="19"/>
              </w:rPr>
              <w:t xml:space="preserve">Step</w:t>
            </w:r>
          </w:p>
        </w:tc>
        <w:tc>
          <w:tcPr>
            <w:tcW w:type="dxa" w:w="3900"/>
            <w:shd w:fill="DCE6F1" w:val="clear"/>
            <w:tcMar>
              <w:top w:type="dxa" w:w="70"/>
              <w:left w:type="dxa" w:w="110"/>
              <w:bottom w:type="dxa" w:w="70"/>
              <w:right w:type="dxa" w:w="110"/>
            </w:tcMar>
          </w:tcPr>
          <w:p>
            <w:pPr>
              <w:spacing w:after="0"/>
            </w:pPr>
            <w:r>
              <w:rPr>
                <w:b/>
                <w:bCs/>
                <w:sz w:val="19"/>
                <w:szCs w:val="19"/>
              </w:rPr>
              <w:t xml:space="preserve">Action</w:t>
            </w:r>
          </w:p>
        </w:tc>
        <w:tc>
          <w:tcPr>
            <w:tcW w:type="dxa" w:w="4760"/>
            <w:shd w:fill="DCE6F1" w:val="clear"/>
            <w:tcMar>
              <w:top w:type="dxa" w:w="70"/>
              <w:left w:type="dxa" w:w="110"/>
              <w:bottom w:type="dxa" w:w="70"/>
              <w:right w:type="dxa" w:w="110"/>
            </w:tcMar>
          </w:tcPr>
          <w:p>
            <w:pPr>
              <w:spacing w:after="0"/>
            </w:pPr>
            <w:r>
              <w:rPr>
                <w:b/>
                <w:bCs/>
                <w:sz w:val="19"/>
                <w:szCs w:val="19"/>
              </w:rPr>
              <w:t xml:space="preserve">Why</w:t>
            </w:r>
          </w:p>
        </w:tc>
      </w:tr>
      <w:tr>
        <w:tc>
          <w:tcPr>
            <w:tcW w:type="dxa" w:w="700"/>
            <w:tcMar>
              <w:top w:type="dxa" w:w="70"/>
              <w:left w:type="dxa" w:w="110"/>
              <w:bottom w:type="dxa" w:w="70"/>
              <w:right w:type="dxa" w:w="110"/>
            </w:tcMar>
          </w:tcPr>
          <w:p>
            <w:pPr>
              <w:spacing w:after="0"/>
            </w:pPr>
            <w:r>
              <w:rPr>
                <w:b w:val="false"/>
                <w:bCs w:val="false"/>
                <w:sz w:val="19"/>
                <w:szCs w:val="19"/>
              </w:rPr>
              <w:t xml:space="preserve">1</w:t>
            </w:r>
          </w:p>
        </w:tc>
        <w:tc>
          <w:tcPr>
            <w:tcW w:type="dxa" w:w="3900"/>
            <w:tcMar>
              <w:top w:type="dxa" w:w="70"/>
              <w:left w:type="dxa" w:w="110"/>
              <w:bottom w:type="dxa" w:w="70"/>
              <w:right w:type="dxa" w:w="110"/>
            </w:tcMar>
          </w:tcPr>
          <w:p>
            <w:pPr>
              <w:spacing w:after="0"/>
            </w:pPr>
            <w:r>
              <w:rPr>
                <w:b w:val="false"/>
                <w:bCs w:val="false"/>
                <w:sz w:val="19"/>
                <w:szCs w:val="19"/>
              </w:rPr>
              <w:t xml:space="preserve">GRANT PYQADMIN TO acme_corp</w:t>
            </w:r>
          </w:p>
        </w:tc>
        <w:tc>
          <w:tcPr>
            <w:tcW w:type="dxa" w:w="4760"/>
            <w:tcMar>
              <w:top w:type="dxa" w:w="70"/>
              <w:left w:type="dxa" w:w="110"/>
              <w:bottom w:type="dxa" w:w="70"/>
              <w:right w:type="dxa" w:w="110"/>
            </w:tcMar>
          </w:tcPr>
          <w:p>
            <w:pPr>
              <w:spacing w:after="0"/>
            </w:pPr>
            <w:r>
              <w:rPr>
                <w:b w:val="false"/>
                <w:bCs w:val="false"/>
                <w:sz w:val="19"/>
                <w:szCs w:val="19"/>
              </w:rPr>
              <w:t xml:space="preserve">Allows the schema to create Python scripts via pyqScriptCreate</w:t>
            </w:r>
          </w:p>
        </w:tc>
      </w:tr>
      <w:tr>
        <w:tc>
          <w:tcPr>
            <w:tcW w:type="dxa" w:w="700"/>
            <w:tcMar>
              <w:top w:type="dxa" w:w="70"/>
              <w:left w:type="dxa" w:w="110"/>
              <w:bottom w:type="dxa" w:w="70"/>
              <w:right w:type="dxa" w:w="110"/>
            </w:tcMar>
          </w:tcPr>
          <w:p>
            <w:pPr>
              <w:spacing w:after="0"/>
            </w:pPr>
            <w:r>
              <w:rPr>
                <w:b w:val="false"/>
                <w:bCs w:val="false"/>
                <w:sz w:val="19"/>
                <w:szCs w:val="19"/>
              </w:rPr>
              <w:t xml:space="preserve">2</w:t>
            </w:r>
          </w:p>
        </w:tc>
        <w:tc>
          <w:tcPr>
            <w:tcW w:type="dxa" w:w="3900"/>
            <w:tcMar>
              <w:top w:type="dxa" w:w="70"/>
              <w:left w:type="dxa" w:w="110"/>
              <w:bottom w:type="dxa" w:w="70"/>
              <w:right w:type="dxa" w:w="110"/>
            </w:tcMar>
          </w:tcPr>
          <w:p>
            <w:pPr>
              <w:spacing w:after="0"/>
            </w:pPr>
            <w:r>
              <w:rPr>
                <w:rFonts w:ascii="Consolas" w:cs="Consolas" w:eastAsia="Consolas" w:hAnsi="Consolas"/>
                <w:b w:val="false"/>
                <w:bCs w:val="false"/>
                <w:sz w:val="19"/>
                <w:szCs w:val="19"/>
              </w:rPr>
              <w:t xml:space="preserve">GRANT OML_DEVELOPER TO acme_corp</w:t>
            </w:r>
          </w:p>
        </w:tc>
        <w:tc>
          <w:tcPr>
            <w:tcW w:type="dxa" w:w="4760"/>
            <w:tcMar>
              <w:top w:type="dxa" w:w="70"/>
              <w:left w:type="dxa" w:w="110"/>
              <w:bottom w:type="dxa" w:w="70"/>
              <w:right w:type="dxa" w:w="110"/>
            </w:tcMar>
          </w:tcPr>
          <w:p>
            <w:pPr>
              <w:spacing w:after="0"/>
            </w:pPr>
            <w:r>
              <w:rPr>
                <w:b w:val="false"/>
                <w:bCs w:val="false"/>
                <w:sz w:val="19"/>
                <w:szCs w:val="19"/>
              </w:rPr>
              <w:t xml:space="preserve">Registers the schema as an OML REST user — without it pyqEval returns HTTP 404</w:t>
            </w:r>
          </w:p>
        </w:tc>
      </w:tr>
      <w:tr>
        <w:tc>
          <w:tcPr>
            <w:tcW w:type="dxa" w:w="700"/>
            <w:tcMar>
              <w:top w:type="dxa" w:w="70"/>
              <w:left w:type="dxa" w:w="110"/>
              <w:bottom w:type="dxa" w:w="70"/>
              <w:right w:type="dxa" w:w="110"/>
            </w:tcMar>
          </w:tcPr>
          <w:p>
            <w:pPr>
              <w:spacing w:after="0"/>
            </w:pPr>
            <w:r>
              <w:rPr>
                <w:b w:val="false"/>
                <w:bCs w:val="false"/>
                <w:sz w:val="19"/>
                <w:szCs w:val="19"/>
              </w:rPr>
              <w:t xml:space="preserve">3</w:t>
            </w:r>
          </w:p>
        </w:tc>
        <w:tc>
          <w:tcPr>
            <w:tcW w:type="dxa" w:w="3900"/>
            <w:tcMar>
              <w:top w:type="dxa" w:w="70"/>
              <w:left w:type="dxa" w:w="110"/>
              <w:bottom w:type="dxa" w:w="70"/>
              <w:right w:type="dxa" w:w="110"/>
            </w:tcMar>
          </w:tcPr>
          <w:p>
            <w:pPr>
              <w:spacing w:after="0"/>
            </w:pPr>
            <w:r>
              <w:rPr>
                <w:rFonts w:ascii="Consolas" w:cs="Consolas" w:eastAsia="Consolas" w:hAnsi="Consolas"/>
                <w:b w:val="false"/>
                <w:bCs w:val="false"/>
                <w:sz w:val="19"/>
                <w:szCs w:val="19"/>
              </w:rPr>
              <w:t xml:space="preserve">EXEC sys.pyqAppendHostAce('ACME_CORP', '&lt;your-oml-host&gt;')</w:t>
            </w:r>
          </w:p>
        </w:tc>
        <w:tc>
          <w:tcPr>
            <w:tcW w:type="dxa" w:w="4760"/>
            <w:tcMar>
              <w:top w:type="dxa" w:w="70"/>
              <w:left w:type="dxa" w:w="110"/>
              <w:bottom w:type="dxa" w:w="70"/>
              <w:right w:type="dxa" w:w="110"/>
            </w:tcMar>
          </w:tcPr>
          <w:p>
            <w:pPr>
              <w:spacing w:after="0"/>
            </w:pPr>
            <w:r>
              <w:rPr>
                <w:rFonts w:ascii="Consolas" w:cs="Consolas" w:eastAsia="Consolas" w:hAnsi="Consolas"/>
                <w:b w:val="false"/>
                <w:bCs w:val="false"/>
                <w:sz w:val="19"/>
                <w:szCs w:val="19"/>
              </w:rPr>
              <w:t xml:space="preserve">EPE keeps its own ACL. DBMS_NETWORK_ACL_ADMIN has no effect here</w:t>
            </w:r>
          </w:p>
        </w:tc>
      </w:tr>
      <w:tr>
        <w:tc>
          <w:tcPr>
            <w:tcW w:type="dxa" w:w="700"/>
            <w:tcMar>
              <w:top w:type="dxa" w:w="70"/>
              <w:left w:type="dxa" w:w="110"/>
              <w:bottom w:type="dxa" w:w="70"/>
              <w:right w:type="dxa" w:w="110"/>
            </w:tcMar>
          </w:tcPr>
          <w:p>
            <w:pPr>
              <w:spacing w:after="0"/>
            </w:pPr>
            <w:r>
              <w:rPr>
                <w:b w:val="false"/>
                <w:bCs w:val="false"/>
                <w:sz w:val="19"/>
                <w:szCs w:val="19"/>
              </w:rPr>
              <w:t xml:space="preserve">4</w:t>
            </w:r>
          </w:p>
        </w:tc>
        <w:tc>
          <w:tcPr>
            <w:tcW w:type="dxa" w:w="3900"/>
            <w:tcMar>
              <w:top w:type="dxa" w:w="70"/>
              <w:left w:type="dxa" w:w="110"/>
              <w:bottom w:type="dxa" w:w="70"/>
              <w:right w:type="dxa" w:w="110"/>
            </w:tcMar>
          </w:tcPr>
          <w:p>
            <w:pPr>
              <w:spacing w:after="0"/>
            </w:pPr>
            <w:r>
              <w:rPr>
                <w:b w:val="false"/>
                <w:bCs w:val="false"/>
                <w:sz w:val="19"/>
                <w:szCs w:val="19"/>
              </w:rPr>
              <w:t xml:space="preserve">Vault secret plus the read policy on secret-bundles</w:t>
            </w:r>
          </w:p>
        </w:tc>
        <w:tc>
          <w:tcPr>
            <w:tcW w:type="dxa" w:w="4760"/>
            <w:tcMar>
              <w:top w:type="dxa" w:w="70"/>
              <w:left w:type="dxa" w:w="110"/>
              <w:bottom w:type="dxa" w:w="70"/>
              <w:right w:type="dxa" w:w="110"/>
            </w:tcMar>
          </w:tcPr>
          <w:p>
            <w:pPr>
              <w:spacing w:after="0"/>
            </w:pPr>
            <w:r>
              <w:rPr>
                <w:b w:val="false"/>
                <w:bCs w:val="false"/>
                <w:sz w:val="19"/>
                <w:szCs w:val="19"/>
              </w:rPr>
              <w:t xml:space="preserve">Lets the wrapper obtain the password for the token exchange</w:t>
            </w:r>
          </w:p>
        </w:tc>
      </w:tr>
      <w:tr>
        <w:tc>
          <w:tcPr>
            <w:tcW w:type="dxa" w:w="700"/>
            <w:tcMar>
              <w:top w:type="dxa" w:w="70"/>
              <w:left w:type="dxa" w:w="110"/>
              <w:bottom w:type="dxa" w:w="70"/>
              <w:right w:type="dxa" w:w="110"/>
            </w:tcMar>
          </w:tcPr>
          <w:p>
            <w:pPr>
              <w:spacing w:after="0"/>
            </w:pPr>
            <w:r>
              <w:rPr>
                <w:b w:val="false"/>
                <w:bCs w:val="false"/>
                <w:sz w:val="19"/>
                <w:szCs w:val="19"/>
              </w:rPr>
              <w:t xml:space="preserve">5</w:t>
            </w:r>
          </w:p>
        </w:tc>
        <w:tc>
          <w:tcPr>
            <w:tcW w:type="dxa" w:w="3900"/>
            <w:tcMar>
              <w:top w:type="dxa" w:w="70"/>
              <w:left w:type="dxa" w:w="110"/>
              <w:bottom w:type="dxa" w:w="70"/>
              <w:right w:type="dxa" w:w="110"/>
            </w:tcMar>
          </w:tcPr>
          <w:p>
            <w:pPr>
              <w:spacing w:after="0"/>
            </w:pPr>
            <w:r>
              <w:rPr>
                <w:b w:val="false"/>
                <w:bCs w:val="false"/>
                <w:sz w:val="19"/>
                <w:szCs w:val="19"/>
              </w:rPr>
              <w:t xml:space="preserve">Pass data_json as a quoted string in par_lst</w:t>
            </w:r>
          </w:p>
        </w:tc>
        <w:tc>
          <w:tcPr>
            <w:tcW w:type="dxa" w:w="4760"/>
            <w:tcMar>
              <w:top w:type="dxa" w:w="70"/>
              <w:left w:type="dxa" w:w="110"/>
              <w:bottom w:type="dxa" w:w="70"/>
              <w:right w:type="dxa" w:w="110"/>
            </w:tcMar>
          </w:tcPr>
          <w:p>
            <w:pPr>
              <w:spacing w:after="0"/>
            </w:pPr>
            <w:r>
              <w:rPr>
                <w:b w:val="false"/>
                <w:bCs w:val="false"/>
                <w:sz w:val="19"/>
                <w:szCs w:val="19"/>
              </w:rPr>
              <w:t xml:space="preserve">Unquoted, Python receives a list and json.loads() fails on the type</w:t>
            </w:r>
          </w:p>
        </w:tc>
      </w:tr>
    </w:tbl>
    <w:p>
      <w:pPr>
        <w:pBdr>
          <w:top w:val="single" w:color="C87F0A" w:sz="4" w:space="7"/>
          <w:bottom w:val="single" w:color="C87F0A" w:sz="4" w:space="7"/>
          <w:left w:val="single" w:color="C87F0A" w:sz="20" w:space="9"/>
          <w:right w:val="single" w:color="C87F0A" w:sz="4" w:space="7"/>
        </w:pBdr>
        <w:shd w:fill="FDF3E3" w:val="clear"/>
        <w:spacing w:after="180" w:before="120"/>
        <w:ind w:left="170" w:right="170"/>
      </w:pPr>
      <w:r>
        <w:rPr>
          <w:b/>
          <w:bCs/>
          <w:sz w:val="20"/>
          <w:szCs w:val="20"/>
        </w:rPr>
        <w:t xml:space="preserve">CAUTION   </w:t>
      </w:r>
      <w:r>
        <w:rPr>
          <w:sz w:val="20"/>
          <w:szCs w:val="20"/>
        </w:rPr>
        <w:t xml:space="preserve">DBMS_NETWORK_ACL_ADMIN.APPEND_HOST_ACE has no effect on Embedded Python Execution in an Autonomous Database. The correct call is pyqAppendHostAce, which maintains a separate PYQSYS-managed ACL. This costs hours if you assume the standard ACL applies.</w:t>
      </w:r>
    </w:p>
    <w:p>
      <w:pPr>
        <w:pBdr>
          <w:top w:val="single" w:color="C87F0A" w:sz="4" w:space="7"/>
          <w:bottom w:val="single" w:color="C87F0A" w:sz="4" w:space="7"/>
          <w:left w:val="single" w:color="C87F0A" w:sz="20" w:space="9"/>
          <w:right w:val="single" w:color="C87F0A" w:sz="4" w:space="7"/>
        </w:pBdr>
        <w:shd w:fill="FDF3E3" w:val="clear"/>
        <w:spacing w:after="180" w:before="120"/>
        <w:ind w:left="170" w:right="170"/>
      </w:pPr>
      <w:r>
        <w:rPr>
          <w:b/>
          <w:bCs/>
          <w:sz w:val="20"/>
          <w:szCs w:val="20"/>
        </w:rPr>
        <w:t xml:space="preserve">CAUTION   </w:t>
      </w:r>
      <w:r>
        <w:rPr>
          <w:sz w:val="20"/>
          <w:szCs w:val="20"/>
        </w:rPr>
        <w:t xml:space="preserve">Do not call oml.connect() inside EPE. The Python engine is already running in the database; connecting triggers hostname resolution and ACL errors. Pass every value in through par_lst instead.</w:t>
      </w:r>
    </w:p>
    <w:p>
      <w:pPr>
        <w:pStyle w:val="Heading2"/>
        <w:spacing w:after="110" w:before="300"/>
      </w:pPr>
      <w:r>
        <w:t xml:space="preserve">9.7 Rebuilding the agent stack</w:t>
      </w:r>
    </w:p>
    <w:p>
      <w:pPr>
        <w:spacing w:after="140"/>
        <w:jc w:val="both"/>
      </w:pPr>
      <w:r>
        <w:rPr>
          <w:sz w:val="21"/>
          <w:szCs w:val="21"/>
        </w:rPr>
        <w:t xml:space="preserve">After adding tools, the agent must be recreated so its tools array names all six. The task instruction should be updated at the same time, since it is what routes between them.</w:t>
      </w:r>
    </w:p>
    <w:p>
      <w:pPr>
        <w:pBdr>
          <w:left w:val="single" w:color="1F4E79" w:sz="14" w:space="8"/>
        </w:pBdr>
        <w:shd w:fill="F4F6F8" w:val="clear"/>
        <w:spacing w:after="0" w:before="100" w:line="250"/>
        <w:ind w:left="220" w:right="120"/>
      </w:pPr>
      <w:r>
        <w:rPr>
          <w:rFonts w:ascii="Consolas" w:cs="Consolas" w:eastAsia="Consolas" w:hAnsi="Consolas"/>
          <w:sz w:val="17"/>
          <w:szCs w:val="17"/>
        </w:rPr>
        <w:t xml:space="preserve">-- drop in reverse dependency order</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BEGIN DBMS_CLOUD_AI_AGENT.DROP_TEAM('ACME_ANALYST_TEAM'); EXCEPTION WHEN OTHERS THEN NULL; END;</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BEGIN DBMS_CLOUD_AI_AGENT.DROP_TASK('ACME_ANALYST_TASK'); EXCEPTION WHEN OTHERS THEN NULL; END;</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BEGIN DBMS_CLOUD_AI_AGENT.DROP_AGENT('ACME_ANALYST');     EXCEPTION WHEN OTHERS THEN NULL; END;</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w:t>
      </w:r>
    </w:p>
    <w:p>
      <w:pPr>
        <w:pBdr>
          <w:left w:val="single" w:color="1F4E79" w:sz="14" w:space="8"/>
        </w:pBdr>
        <w:shd w:fill="F4F6F8" w:val="clear"/>
        <w:spacing w:after="160" w:before="0" w:line="250"/>
        <w:ind w:left="220" w:right="120"/>
      </w:pPr>
      <w:r>
        <w:rPr>
          <w:rFonts w:ascii="Consolas" w:cs="Consolas" w:eastAsia="Consolas" w:hAnsi="Consolas"/>
          <w:sz w:val="17"/>
          <w:szCs w:val="17"/>
        </w:rPr>
        <w:t xml:space="preserve">-- then recreate agent, task and team as in section 8.5.2</w:t>
      </w:r>
    </w:p>
    <w:p>
      <w:pPr>
        <w:spacing w:after="140"/>
        <w:jc w:val="both"/>
      </w:pPr>
      <w:r>
        <w:rPr>
          <w:sz w:val="21"/>
          <w:szCs w:val="21"/>
        </w:rPr>
        <w:t xml:space="preserve">Tools themselves need not be dropped unless their definition changed. Where only an attribute changes, SET_ATTRIBUTE avoids the rebuild entirely.</w:t>
      </w:r>
    </w:p>
    <w:p>
      <w:pPr>
        <w:pStyle w:val="Heading2"/>
        <w:spacing w:after="110" w:before="300"/>
      </w:pPr>
      <w:r>
        <w:t xml:space="preserve">9.8 Error handling in the interface</w:t>
      </w:r>
    </w:p>
    <w:p>
      <w:pPr>
        <w:spacing w:after="140"/>
        <w:jc w:val="both"/>
      </w:pPr>
      <w:r>
        <w:rPr>
          <w:sz w:val="21"/>
          <w:szCs w:val="21"/>
        </w:rPr>
        <w:t xml:space="preserve">When a tool fails, the agent returns a JSON error object, and an unmodified chat interface renders it verbatim in the bubble. Users have no context for an ORA- number. Detect the shape in the callback and substitute something actionable:</w:t>
      </w:r>
    </w:p>
    <w:p>
      <w:pPr>
        <w:pBdr>
          <w:left w:val="single" w:color="1F4E79" w:sz="14" w:space="8"/>
        </w:pBdr>
        <w:shd w:fill="F4F6F8" w:val="clear"/>
        <w:spacing w:after="0" w:before="100" w:line="250"/>
        <w:ind w:left="220" w:right="120"/>
      </w:pPr>
      <w:r>
        <w:rPr>
          <w:rFonts w:ascii="Consolas" w:cs="Consolas" w:eastAsia="Consolas" w:hAnsi="Consolas"/>
          <w:sz w:val="17"/>
          <w:szCs w:val="17"/>
        </w:rPr>
        <w:t xml:space="preserve">success: function (d) {</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ACMEChat.typing(false);</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if (d.answer &amp;&amp; /"error"\s*:|ORA-\d{5}/.test(d.answer)) {</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ACMEChat.append('error',</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'That analysis could not be completed. Try rephrasing, ' +</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'or ask for the underlying figures instead.');</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return;</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w:t>
      </w:r>
    </w:p>
    <w:p>
      <w:pPr>
        <w:pBdr>
          <w:left w:val="single" w:color="1F4E79" w:sz="14" w:space="8"/>
        </w:pBdr>
        <w:shd w:fill="F4F6F8" w:val="clear"/>
        <w:spacing w:after="0" w:before="0" w:line="250"/>
        <w:ind w:left="220" w:right="120"/>
      </w:pPr>
      <w:r>
        <w:rPr>
          <w:rFonts w:ascii="Consolas" w:cs="Consolas" w:eastAsia="Consolas" w:hAnsi="Consolas"/>
          <w:sz w:val="17"/>
          <w:szCs w:val="17"/>
        </w:rPr>
        <w:t xml:space="preserve">  ACMEChat.append('assistant', d.answer);</w:t>
      </w:r>
    </w:p>
    <w:p>
      <w:pPr>
        <w:pBdr>
          <w:left w:val="single" w:color="1F4E79" w:sz="14" w:space="8"/>
        </w:pBdr>
        <w:shd w:fill="F4F6F8" w:val="clear"/>
        <w:spacing w:after="160" w:before="0" w:line="250"/>
        <w:ind w:left="220" w:right="120"/>
      </w:pPr>
      <w:r>
        <w:rPr>
          <w:rFonts w:ascii="Consolas" w:cs="Consolas" w:eastAsia="Consolas" w:hAnsi="Consolas"/>
          <w:sz w:val="17"/>
          <w:szCs w:val="17"/>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shd w:fill="DCE6F1" w:val="clear"/>
            <w:tcMar>
              <w:top w:type="dxa" w:w="70"/>
              <w:left w:type="dxa" w:w="110"/>
              <w:bottom w:type="dxa" w:w="70"/>
              <w:right w:type="dxa" w:w="110"/>
            </w:tcMar>
          </w:tcPr>
          <w:p>
            <w:pPr>
              <w:spacing w:after="0"/>
            </w:pPr>
            <w:r>
              <w:rPr>
                <w:b/>
                <w:bCs/>
                <w:sz w:val="19"/>
                <w:szCs w:val="19"/>
              </w:rPr>
              <w:t xml:space="preserve">Pattern</w:t>
            </w:r>
          </w:p>
        </w:tc>
        <w:tc>
          <w:tcPr>
            <w:tcW w:type="dxa" w:w="4960"/>
            <w:shd w:fill="DCE6F1" w:val="clear"/>
            <w:tcMar>
              <w:top w:type="dxa" w:w="70"/>
              <w:left w:type="dxa" w:w="110"/>
              <w:bottom w:type="dxa" w:w="70"/>
              <w:right w:type="dxa" w:w="110"/>
            </w:tcMar>
          </w:tcPr>
          <w:p>
            <w:pPr>
              <w:spacing w:after="0"/>
            </w:pPr>
            <w:r>
              <w:rPr>
                <w:b/>
                <w:bCs/>
                <w:sz w:val="19"/>
                <w:szCs w:val="19"/>
              </w:rPr>
              <w:t xml:space="preserve">Usually means</w:t>
            </w:r>
          </w:p>
        </w:tc>
      </w:tr>
      <w:tr>
        <w:tc>
          <w:tcPr>
            <w:tcW w:type="dxa" w:w="4400"/>
            <w:tcMar>
              <w:top w:type="dxa" w:w="70"/>
              <w:left w:type="dxa" w:w="110"/>
              <w:bottom w:type="dxa" w:w="70"/>
              <w:right w:type="dxa" w:w="110"/>
            </w:tcMar>
          </w:tcPr>
          <w:p>
            <w:pPr>
              <w:spacing w:after="0"/>
            </w:pPr>
            <w:r>
              <w:rPr>
                <w:b w:val="false"/>
                <w:bCs w:val="false"/>
                <w:sz w:val="19"/>
                <w:szCs w:val="19"/>
              </w:rPr>
              <w:t xml:space="preserve">ORA-20404 with my$cloud_domain in the URI</w:t>
            </w:r>
          </w:p>
        </w:tc>
        <w:tc>
          <w:tcPr>
            <w:tcW w:type="dxa" w:w="4960"/>
            <w:tcMar>
              <w:top w:type="dxa" w:w="70"/>
              <w:left w:type="dxa" w:w="110"/>
              <w:bottom w:type="dxa" w:w="70"/>
              <w:right w:type="dxa" w:w="110"/>
            </w:tcMar>
          </w:tcPr>
          <w:p>
            <w:pPr>
              <w:spacing w:after="0"/>
            </w:pPr>
            <w:r>
              <w:rPr>
                <w:b w:val="false"/>
                <w:bCs w:val="false"/>
                <w:sz w:val="19"/>
                <w:szCs w:val="19"/>
              </w:rPr>
              <w:t xml:space="preserve">A region attribute is set on the profile</w:t>
            </w:r>
          </w:p>
        </w:tc>
      </w:tr>
      <w:tr>
        <w:tc>
          <w:tcPr>
            <w:tcW w:type="dxa" w:w="4400"/>
            <w:tcMar>
              <w:top w:type="dxa" w:w="70"/>
              <w:left w:type="dxa" w:w="110"/>
              <w:bottom w:type="dxa" w:w="70"/>
              <w:right w:type="dxa" w:w="110"/>
            </w:tcMar>
          </w:tcPr>
          <w:p>
            <w:pPr>
              <w:spacing w:after="0"/>
            </w:pPr>
            <w:r>
              <w:rPr>
                <w:b w:val="false"/>
                <w:bCs w:val="false"/>
                <w:sz w:val="19"/>
                <w:szCs w:val="19"/>
              </w:rPr>
              <w:t xml:space="preserve">HTTP 404 from pyqEval</w:t>
            </w:r>
          </w:p>
        </w:tc>
        <w:tc>
          <w:tcPr>
            <w:tcW w:type="dxa" w:w="4960"/>
            <w:tcMar>
              <w:top w:type="dxa" w:w="70"/>
              <w:left w:type="dxa" w:w="110"/>
              <w:bottom w:type="dxa" w:w="70"/>
              <w:right w:type="dxa" w:w="110"/>
            </w:tcMar>
          </w:tcPr>
          <w:p>
            <w:pPr>
              <w:spacing w:after="0"/>
            </w:pPr>
            <w:r>
              <w:rPr>
                <w:rFonts w:ascii="Consolas" w:cs="Consolas" w:eastAsia="Consolas" w:hAnsi="Consolas"/>
                <w:b w:val="false"/>
                <w:bCs w:val="false"/>
                <w:sz w:val="19"/>
                <w:szCs w:val="19"/>
              </w:rPr>
              <w:t xml:space="preserve">OML_DEVELOPER not granted, or the token is stale</w:t>
            </w:r>
          </w:p>
        </w:tc>
      </w:tr>
      <w:tr>
        <w:tc>
          <w:tcPr>
            <w:tcW w:type="dxa" w:w="4400"/>
            <w:tcMar>
              <w:top w:type="dxa" w:w="70"/>
              <w:left w:type="dxa" w:w="110"/>
              <w:bottom w:type="dxa" w:w="70"/>
              <w:right w:type="dxa" w:w="110"/>
            </w:tcMar>
          </w:tcPr>
          <w:p>
            <w:pPr>
              <w:spacing w:after="0"/>
            </w:pPr>
            <w:r>
              <w:rPr>
                <w:b w:val="false"/>
                <w:bCs w:val="false"/>
                <w:sz w:val="19"/>
                <w:szCs w:val="19"/>
              </w:rPr>
              <w:t xml:space="preserve">ORA-24247</w:t>
            </w:r>
          </w:p>
        </w:tc>
        <w:tc>
          <w:tcPr>
            <w:tcW w:type="dxa" w:w="4960"/>
            <w:tcMar>
              <w:top w:type="dxa" w:w="70"/>
              <w:left w:type="dxa" w:w="110"/>
              <w:bottom w:type="dxa" w:w="70"/>
              <w:right w:type="dxa" w:w="110"/>
            </w:tcMar>
          </w:tcPr>
          <w:p>
            <w:pPr>
              <w:spacing w:after="0"/>
            </w:pPr>
            <w:r>
              <w:rPr>
                <w:b w:val="false"/>
                <w:bCs w:val="false"/>
                <w:sz w:val="19"/>
                <w:szCs w:val="19"/>
              </w:rPr>
              <w:t xml:space="preserve">Host ACE missing for the endpoint host</w:t>
            </w:r>
          </w:p>
        </w:tc>
      </w:tr>
      <w:tr>
        <w:tc>
          <w:tcPr>
            <w:tcW w:type="dxa" w:w="4400"/>
            <w:tcMar>
              <w:top w:type="dxa" w:w="70"/>
              <w:left w:type="dxa" w:w="110"/>
              <w:bottom w:type="dxa" w:w="70"/>
              <w:right w:type="dxa" w:w="110"/>
            </w:tcMar>
          </w:tcPr>
          <w:p>
            <w:pPr>
              <w:spacing w:after="0"/>
            </w:pPr>
            <w:r>
              <w:rPr>
                <w:b w:val="false"/>
                <w:bCs w:val="false"/>
                <w:sz w:val="19"/>
                <w:szCs w:val="19"/>
              </w:rPr>
              <w:t xml:space="preserve">An answer with no figures</w:t>
            </w:r>
          </w:p>
        </w:tc>
        <w:tc>
          <w:tcPr>
            <w:tcW w:type="dxa" w:w="4960"/>
            <w:tcMar>
              <w:top w:type="dxa" w:w="70"/>
              <w:left w:type="dxa" w:w="110"/>
              <w:bottom w:type="dxa" w:w="70"/>
              <w:right w:type="dxa" w:w="110"/>
            </w:tcMar>
          </w:tcPr>
          <w:p>
            <w:pPr>
              <w:spacing w:after="0"/>
            </w:pPr>
            <w:r>
              <w:rPr>
                <w:b w:val="false"/>
                <w:bCs w:val="false"/>
                <w:sz w:val="19"/>
                <w:szCs w:val="19"/>
              </w:rPr>
              <w:t xml:space="preserve">The tool returned nothing and the instruction correctly refused to invent</w:t>
            </w:r>
          </w:p>
        </w:tc>
      </w:tr>
    </w:tbl>
    <w:p>
      <w:pPr>
        <w:pStyle w:val="Heading1"/>
        <w:spacing w:after="150" w:before="400"/>
      </w:pPr>
      <w:r>
        <w:t xml:space="preserve">10. Sample questions and verified answers</w:t>
      </w:r>
    </w:p>
    <w:p>
      <w:pPr>
        <w:spacing w:after="140"/>
        <w:jc w:val="both"/>
      </w:pPr>
      <w:r>
        <w:rPr>
          <w:sz w:val="21"/>
          <w:szCs w:val="21"/>
        </w:rPr>
        <w:t xml:space="preserve">Every question below was run against the deployed agent and the answer recorded verbatim. Where the agent could not answer, that is recorded too — those cases are more useful than the successes, because they show what the data does and does not support.</w:t>
      </w:r>
    </w:p>
    <w:p>
      <w:pPr>
        <w:pBdr>
          <w:top w:val="single" w:color="3F7D46" w:sz="4" w:space="7"/>
          <w:bottom w:val="single" w:color="3F7D46" w:sz="4" w:space="7"/>
          <w:left w:val="single" w:color="3F7D46" w:sz="20" w:space="9"/>
          <w:right w:val="single" w:color="3F7D46" w:sz="4" w:space="7"/>
        </w:pBdr>
        <w:shd w:fill="EBF3EC" w:val="clear"/>
        <w:spacing w:after="180" w:before="120"/>
        <w:ind w:left="170" w:right="170"/>
      </w:pPr>
      <w:r>
        <w:rPr>
          <w:b/>
          <w:bCs/>
          <w:sz w:val="20"/>
          <w:szCs w:val="20"/>
        </w:rPr>
        <w:t xml:space="preserve">VERIFIED   </w:t>
      </w:r>
      <w:r>
        <w:rPr>
          <w:sz w:val="20"/>
          <w:szCs w:val="20"/>
        </w:rPr>
        <w:t xml:space="preserve">Run against Oracle AI Database 26ai (23.26.3.2.0) with the six-tool stack described in sections 8 and 9. Figures come from the sample ledger: nine periods, JAN-2025 to SEP-2025, five departments carrying transactions.</w:t>
      </w:r>
    </w:p>
    <w:p>
      <w:pPr>
        <w:pStyle w:val="Heading2"/>
        <w:spacing w:after="110" w:before="300"/>
      </w:pPr>
      <w:r>
        <w:t xml:space="preserve">10.1 Know your data before you write questions</w:t>
      </w:r>
    </w:p>
    <w:p>
      <w:pPr>
        <w:spacing w:after="140"/>
        <w:jc w:val="both"/>
      </w:pPr>
      <w:r>
        <w:rPr>
          <w:sz w:val="21"/>
          <w:szCs w:val="21"/>
        </w:rPr>
        <w:t xml:space="preserve">Most bad sample questions name something that does not exist. In this dataset the dimension table carries a department with no transactions at all, and it is the fastest way to produce a confusing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400"/>
        <w:gridCol w:w="4060"/>
      </w:tblGrid>
      <w:tr>
        <w:trPr>
          <w:tblHeader/>
        </w:trPr>
        <w:tc>
          <w:tcPr>
            <w:tcW w:type="dxa" w:w="2400"/>
            <w:shd w:fill="DCE6F1" w:val="clear"/>
            <w:tcMar>
              <w:top w:type="dxa" w:w="70"/>
              <w:left w:type="dxa" w:w="110"/>
              <w:bottom w:type="dxa" w:w="70"/>
              <w:right w:type="dxa" w:w="110"/>
            </w:tcMar>
          </w:tcPr>
          <w:p>
            <w:pPr>
              <w:spacing w:after="0"/>
            </w:pPr>
            <w:r>
              <w:rPr>
                <w:b/>
                <w:bCs/>
                <w:sz w:val="19"/>
                <w:szCs w:val="19"/>
              </w:rPr>
              <w:t xml:space="preserve">Department</w:t>
            </w:r>
          </w:p>
        </w:tc>
        <w:tc>
          <w:tcPr>
            <w:tcW w:type="dxa" w:w="1500"/>
            <w:shd w:fill="DCE6F1" w:val="clear"/>
            <w:tcMar>
              <w:top w:type="dxa" w:w="70"/>
              <w:left w:type="dxa" w:w="110"/>
              <w:bottom w:type="dxa" w:w="70"/>
              <w:right w:type="dxa" w:w="110"/>
            </w:tcMar>
          </w:tcPr>
          <w:p>
            <w:pPr>
              <w:spacing w:after="0"/>
            </w:pPr>
            <w:r>
              <w:rPr>
                <w:b/>
                <w:bCs/>
                <w:sz w:val="19"/>
                <w:szCs w:val="19"/>
              </w:rPr>
              <w:t xml:space="preserve">GL lines</w:t>
            </w:r>
          </w:p>
        </w:tc>
        <w:tc>
          <w:tcPr>
            <w:tcW w:type="dxa" w:w="1400"/>
            <w:shd w:fill="DCE6F1" w:val="clear"/>
            <w:tcMar>
              <w:top w:type="dxa" w:w="70"/>
              <w:left w:type="dxa" w:w="110"/>
              <w:bottom w:type="dxa" w:w="70"/>
              <w:right w:type="dxa" w:w="110"/>
            </w:tcMar>
          </w:tcPr>
          <w:p>
            <w:pPr>
              <w:spacing w:after="0"/>
            </w:pPr>
            <w:r>
              <w:rPr>
                <w:b/>
                <w:bCs/>
                <w:sz w:val="19"/>
                <w:szCs w:val="19"/>
              </w:rPr>
              <w:t xml:space="preserve">Periods</w:t>
            </w:r>
          </w:p>
        </w:tc>
        <w:tc>
          <w:tcPr>
            <w:tcW w:type="dxa" w:w="4060"/>
            <w:shd w:fill="DCE6F1" w:val="clear"/>
            <w:tcMar>
              <w:top w:type="dxa" w:w="70"/>
              <w:left w:type="dxa" w:w="110"/>
              <w:bottom w:type="dxa" w:w="70"/>
              <w:right w:type="dxa" w:w="110"/>
            </w:tcMar>
          </w:tcPr>
          <w:p>
            <w:pPr>
              <w:spacing w:after="0"/>
            </w:pPr>
            <w:r>
              <w:rPr>
                <w:b/>
                <w:bCs/>
                <w:sz w:val="19"/>
                <w:szCs w:val="19"/>
              </w:rPr>
              <w:t xml:space="preserve">Usable in a question?</w:t>
            </w:r>
          </w:p>
        </w:tc>
      </w:tr>
      <w:tr>
        <w:tc>
          <w:tcPr>
            <w:tcW w:type="dxa" w:w="2400"/>
            <w:tcMar>
              <w:top w:type="dxa" w:w="70"/>
              <w:left w:type="dxa" w:w="110"/>
              <w:bottom w:type="dxa" w:w="70"/>
              <w:right w:type="dxa" w:w="110"/>
            </w:tcMar>
          </w:tcPr>
          <w:p>
            <w:pPr>
              <w:spacing w:after="0"/>
            </w:pPr>
            <w:r>
              <w:rPr>
                <w:b w:val="false"/>
                <w:bCs w:val="false"/>
                <w:sz w:val="19"/>
                <w:szCs w:val="19"/>
              </w:rPr>
              <w:t xml:space="preserve">Sales</w:t>
            </w:r>
          </w:p>
        </w:tc>
        <w:tc>
          <w:tcPr>
            <w:tcW w:type="dxa" w:w="1500"/>
            <w:tcMar>
              <w:top w:type="dxa" w:w="70"/>
              <w:left w:type="dxa" w:w="110"/>
              <w:bottom w:type="dxa" w:w="70"/>
              <w:right w:type="dxa" w:w="110"/>
            </w:tcMar>
          </w:tcPr>
          <w:p>
            <w:pPr>
              <w:spacing w:after="0"/>
            </w:pPr>
            <w:r>
              <w:rPr>
                <w:b w:val="false"/>
                <w:bCs w:val="false"/>
                <w:sz w:val="19"/>
                <w:szCs w:val="19"/>
              </w:rPr>
              <w:t xml:space="preserve">28</w:t>
            </w:r>
          </w:p>
        </w:tc>
        <w:tc>
          <w:tcPr>
            <w:tcW w:type="dxa" w:w="1400"/>
            <w:tcMar>
              <w:top w:type="dxa" w:w="70"/>
              <w:left w:type="dxa" w:w="110"/>
              <w:bottom w:type="dxa" w:w="70"/>
              <w:right w:type="dxa" w:w="110"/>
            </w:tcMar>
          </w:tcPr>
          <w:p>
            <w:pPr>
              <w:spacing w:after="0"/>
            </w:pPr>
            <w:r>
              <w:rPr>
                <w:b w:val="false"/>
                <w:bCs w:val="false"/>
                <w:sz w:val="19"/>
                <w:szCs w:val="19"/>
              </w:rPr>
              <w:t xml:space="preserve">9</w:t>
            </w:r>
          </w:p>
        </w:tc>
        <w:tc>
          <w:tcPr>
            <w:tcW w:type="dxa" w:w="4060"/>
            <w:tcMar>
              <w:top w:type="dxa" w:w="70"/>
              <w:left w:type="dxa" w:w="110"/>
              <w:bottom w:type="dxa" w:w="70"/>
              <w:right w:type="dxa" w:w="110"/>
            </w:tcMar>
          </w:tcPr>
          <w:p>
            <w:pPr>
              <w:spacing w:after="0"/>
            </w:pPr>
            <w:r>
              <w:rPr>
                <w:b w:val="false"/>
                <w:bCs w:val="false"/>
                <w:sz w:val="19"/>
                <w:szCs w:val="19"/>
              </w:rPr>
              <w:t xml:space="preserve">Yes</w:t>
            </w:r>
          </w:p>
        </w:tc>
      </w:tr>
      <w:tr>
        <w:tc>
          <w:tcPr>
            <w:tcW w:type="dxa" w:w="2400"/>
            <w:tcMar>
              <w:top w:type="dxa" w:w="70"/>
              <w:left w:type="dxa" w:w="110"/>
              <w:bottom w:type="dxa" w:w="70"/>
              <w:right w:type="dxa" w:w="110"/>
            </w:tcMar>
          </w:tcPr>
          <w:p>
            <w:pPr>
              <w:spacing w:after="0"/>
            </w:pPr>
            <w:r>
              <w:rPr>
                <w:b w:val="false"/>
                <w:bCs w:val="false"/>
                <w:sz w:val="19"/>
                <w:szCs w:val="19"/>
              </w:rPr>
              <w:t xml:space="preserve">Corporate</w:t>
            </w:r>
          </w:p>
        </w:tc>
        <w:tc>
          <w:tcPr>
            <w:tcW w:type="dxa" w:w="1500"/>
            <w:tcMar>
              <w:top w:type="dxa" w:w="70"/>
              <w:left w:type="dxa" w:w="110"/>
              <w:bottom w:type="dxa" w:w="70"/>
              <w:right w:type="dxa" w:w="110"/>
            </w:tcMar>
          </w:tcPr>
          <w:p>
            <w:pPr>
              <w:spacing w:after="0"/>
            </w:pPr>
            <w:r>
              <w:rPr>
                <w:b w:val="false"/>
                <w:bCs w:val="false"/>
                <w:sz w:val="19"/>
                <w:szCs w:val="19"/>
              </w:rPr>
              <w:t xml:space="preserve">27</w:t>
            </w:r>
          </w:p>
        </w:tc>
        <w:tc>
          <w:tcPr>
            <w:tcW w:type="dxa" w:w="1400"/>
            <w:tcMar>
              <w:top w:type="dxa" w:w="70"/>
              <w:left w:type="dxa" w:w="110"/>
              <w:bottom w:type="dxa" w:w="70"/>
              <w:right w:type="dxa" w:w="110"/>
            </w:tcMar>
          </w:tcPr>
          <w:p>
            <w:pPr>
              <w:spacing w:after="0"/>
            </w:pPr>
            <w:r>
              <w:rPr>
                <w:b w:val="false"/>
                <w:bCs w:val="false"/>
                <w:sz w:val="19"/>
                <w:szCs w:val="19"/>
              </w:rPr>
              <w:t xml:space="preserve">9</w:t>
            </w:r>
          </w:p>
        </w:tc>
        <w:tc>
          <w:tcPr>
            <w:tcW w:type="dxa" w:w="4060"/>
            <w:tcMar>
              <w:top w:type="dxa" w:w="70"/>
              <w:left w:type="dxa" w:w="110"/>
              <w:bottom w:type="dxa" w:w="70"/>
              <w:right w:type="dxa" w:w="110"/>
            </w:tcMar>
          </w:tcPr>
          <w:p>
            <w:pPr>
              <w:spacing w:after="0"/>
            </w:pPr>
            <w:r>
              <w:rPr>
                <w:b w:val="false"/>
                <w:bCs w:val="false"/>
                <w:sz w:val="19"/>
                <w:szCs w:val="19"/>
              </w:rPr>
              <w:t xml:space="preserve">Yes</w:t>
            </w:r>
          </w:p>
        </w:tc>
      </w:tr>
      <w:tr>
        <w:tc>
          <w:tcPr>
            <w:tcW w:type="dxa" w:w="2400"/>
            <w:tcMar>
              <w:top w:type="dxa" w:w="70"/>
              <w:left w:type="dxa" w:w="110"/>
              <w:bottom w:type="dxa" w:w="70"/>
              <w:right w:type="dxa" w:w="110"/>
            </w:tcMar>
          </w:tcPr>
          <w:p>
            <w:pPr>
              <w:spacing w:after="0"/>
            </w:pPr>
            <w:r>
              <w:rPr>
                <w:b w:val="false"/>
                <w:bCs w:val="false"/>
                <w:sz w:val="19"/>
                <w:szCs w:val="19"/>
              </w:rPr>
              <w:t xml:space="preserve">Finance</w:t>
            </w:r>
          </w:p>
        </w:tc>
        <w:tc>
          <w:tcPr>
            <w:tcW w:type="dxa" w:w="1500"/>
            <w:tcMar>
              <w:top w:type="dxa" w:w="70"/>
              <w:left w:type="dxa" w:w="110"/>
              <w:bottom w:type="dxa" w:w="70"/>
              <w:right w:type="dxa" w:w="110"/>
            </w:tcMar>
          </w:tcPr>
          <w:p>
            <w:pPr>
              <w:spacing w:after="0"/>
            </w:pPr>
            <w:r>
              <w:rPr>
                <w:b w:val="false"/>
                <w:bCs w:val="false"/>
                <w:sz w:val="19"/>
                <w:szCs w:val="19"/>
              </w:rPr>
              <w:t xml:space="preserve">26</w:t>
            </w:r>
          </w:p>
        </w:tc>
        <w:tc>
          <w:tcPr>
            <w:tcW w:type="dxa" w:w="1400"/>
            <w:tcMar>
              <w:top w:type="dxa" w:w="70"/>
              <w:left w:type="dxa" w:w="110"/>
              <w:bottom w:type="dxa" w:w="70"/>
              <w:right w:type="dxa" w:w="110"/>
            </w:tcMar>
          </w:tcPr>
          <w:p>
            <w:pPr>
              <w:spacing w:after="0"/>
            </w:pPr>
            <w:r>
              <w:rPr>
                <w:b w:val="false"/>
                <w:bCs w:val="false"/>
                <w:sz w:val="19"/>
                <w:szCs w:val="19"/>
              </w:rPr>
              <w:t xml:space="preserve">9</w:t>
            </w:r>
          </w:p>
        </w:tc>
        <w:tc>
          <w:tcPr>
            <w:tcW w:type="dxa" w:w="4060"/>
            <w:tcMar>
              <w:top w:type="dxa" w:w="70"/>
              <w:left w:type="dxa" w:w="110"/>
              <w:bottom w:type="dxa" w:w="70"/>
              <w:right w:type="dxa" w:w="110"/>
            </w:tcMar>
          </w:tcPr>
          <w:p>
            <w:pPr>
              <w:spacing w:after="0"/>
            </w:pPr>
            <w:r>
              <w:rPr>
                <w:b w:val="false"/>
                <w:bCs w:val="false"/>
                <w:sz w:val="19"/>
                <w:szCs w:val="19"/>
              </w:rPr>
              <w:t xml:space="preserve">Yes</w:t>
            </w:r>
          </w:p>
        </w:tc>
      </w:tr>
      <w:tr>
        <w:tc>
          <w:tcPr>
            <w:tcW w:type="dxa" w:w="2400"/>
            <w:tcMar>
              <w:top w:type="dxa" w:w="70"/>
              <w:left w:type="dxa" w:w="110"/>
              <w:bottom w:type="dxa" w:w="70"/>
              <w:right w:type="dxa" w:w="110"/>
            </w:tcMar>
          </w:tcPr>
          <w:p>
            <w:pPr>
              <w:spacing w:after="0"/>
            </w:pPr>
            <w:r>
              <w:rPr>
                <w:b w:val="false"/>
                <w:bCs w:val="false"/>
                <w:sz w:val="19"/>
                <w:szCs w:val="19"/>
              </w:rPr>
              <w:t xml:space="preserve">Engineering</w:t>
            </w:r>
          </w:p>
        </w:tc>
        <w:tc>
          <w:tcPr>
            <w:tcW w:type="dxa" w:w="1500"/>
            <w:tcMar>
              <w:top w:type="dxa" w:w="70"/>
              <w:left w:type="dxa" w:w="110"/>
              <w:bottom w:type="dxa" w:w="70"/>
              <w:right w:type="dxa" w:w="110"/>
            </w:tcMar>
          </w:tcPr>
          <w:p>
            <w:pPr>
              <w:spacing w:after="0"/>
            </w:pPr>
            <w:r>
              <w:rPr>
                <w:b w:val="false"/>
                <w:bCs w:val="false"/>
                <w:sz w:val="19"/>
                <w:szCs w:val="19"/>
              </w:rPr>
              <w:t xml:space="preserve">24</w:t>
            </w:r>
          </w:p>
        </w:tc>
        <w:tc>
          <w:tcPr>
            <w:tcW w:type="dxa" w:w="1400"/>
            <w:tcMar>
              <w:top w:type="dxa" w:w="70"/>
              <w:left w:type="dxa" w:w="110"/>
              <w:bottom w:type="dxa" w:w="70"/>
              <w:right w:type="dxa" w:w="110"/>
            </w:tcMar>
          </w:tcPr>
          <w:p>
            <w:pPr>
              <w:spacing w:after="0"/>
            </w:pPr>
            <w:r>
              <w:rPr>
                <w:b w:val="false"/>
                <w:bCs w:val="false"/>
                <w:sz w:val="19"/>
                <w:szCs w:val="19"/>
              </w:rPr>
              <w:t xml:space="preserve">9</w:t>
            </w:r>
          </w:p>
        </w:tc>
        <w:tc>
          <w:tcPr>
            <w:tcW w:type="dxa" w:w="4060"/>
            <w:tcMar>
              <w:top w:type="dxa" w:w="70"/>
              <w:left w:type="dxa" w:w="110"/>
              <w:bottom w:type="dxa" w:w="70"/>
              <w:right w:type="dxa" w:w="110"/>
            </w:tcMar>
          </w:tcPr>
          <w:p>
            <w:pPr>
              <w:spacing w:after="0"/>
            </w:pPr>
            <w:r>
              <w:rPr>
                <w:b w:val="false"/>
                <w:bCs w:val="false"/>
                <w:sz w:val="19"/>
                <w:szCs w:val="19"/>
              </w:rPr>
              <w:t xml:space="preserve">Yes</w:t>
            </w:r>
          </w:p>
        </w:tc>
      </w:tr>
      <w:tr>
        <w:tc>
          <w:tcPr>
            <w:tcW w:type="dxa" w:w="2400"/>
            <w:tcMar>
              <w:top w:type="dxa" w:w="70"/>
              <w:left w:type="dxa" w:w="110"/>
              <w:bottom w:type="dxa" w:w="70"/>
              <w:right w:type="dxa" w:w="110"/>
            </w:tcMar>
          </w:tcPr>
          <w:p>
            <w:pPr>
              <w:spacing w:after="0"/>
            </w:pPr>
            <w:r>
              <w:rPr>
                <w:b w:val="false"/>
                <w:bCs w:val="false"/>
                <w:sz w:val="19"/>
                <w:szCs w:val="19"/>
              </w:rPr>
              <w:t xml:space="preserve">Operations</w:t>
            </w:r>
          </w:p>
        </w:tc>
        <w:tc>
          <w:tcPr>
            <w:tcW w:type="dxa" w:w="1500"/>
            <w:tcMar>
              <w:top w:type="dxa" w:w="70"/>
              <w:left w:type="dxa" w:w="110"/>
              <w:bottom w:type="dxa" w:w="70"/>
              <w:right w:type="dxa" w:w="110"/>
            </w:tcMar>
          </w:tcPr>
          <w:p>
            <w:pPr>
              <w:spacing w:after="0"/>
            </w:pPr>
            <w:r>
              <w:rPr>
                <w:b w:val="false"/>
                <w:bCs w:val="false"/>
                <w:sz w:val="19"/>
                <w:szCs w:val="19"/>
              </w:rPr>
              <w:t xml:space="preserve">15</w:t>
            </w:r>
          </w:p>
        </w:tc>
        <w:tc>
          <w:tcPr>
            <w:tcW w:type="dxa" w:w="1400"/>
            <w:tcMar>
              <w:top w:type="dxa" w:w="70"/>
              <w:left w:type="dxa" w:w="110"/>
              <w:bottom w:type="dxa" w:w="70"/>
              <w:right w:type="dxa" w:w="110"/>
            </w:tcMar>
          </w:tcPr>
          <w:p>
            <w:pPr>
              <w:spacing w:after="0"/>
            </w:pPr>
            <w:r>
              <w:rPr>
                <w:b w:val="false"/>
                <w:bCs w:val="false"/>
                <w:sz w:val="19"/>
                <w:szCs w:val="19"/>
              </w:rPr>
              <w:t xml:space="preserve">9</w:t>
            </w:r>
          </w:p>
        </w:tc>
        <w:tc>
          <w:tcPr>
            <w:tcW w:type="dxa" w:w="4060"/>
            <w:tcMar>
              <w:top w:type="dxa" w:w="70"/>
              <w:left w:type="dxa" w:w="110"/>
              <w:bottom w:type="dxa" w:w="70"/>
              <w:right w:type="dxa" w:w="110"/>
            </w:tcMar>
          </w:tcPr>
          <w:p>
            <w:pPr>
              <w:spacing w:after="0"/>
            </w:pPr>
            <w:r>
              <w:rPr>
                <w:b w:val="false"/>
                <w:bCs w:val="false"/>
                <w:sz w:val="19"/>
                <w:szCs w:val="19"/>
              </w:rPr>
              <w:t xml:space="preserve">Yes — but small totals</w:t>
            </w:r>
          </w:p>
        </w:tc>
      </w:tr>
      <w:tr>
        <w:tc>
          <w:tcPr>
            <w:tcW w:type="dxa" w:w="2400"/>
            <w:tcMar>
              <w:top w:type="dxa" w:w="70"/>
              <w:left w:type="dxa" w:w="110"/>
              <w:bottom w:type="dxa" w:w="70"/>
              <w:right w:type="dxa" w:w="110"/>
            </w:tcMar>
          </w:tcPr>
          <w:p>
            <w:pPr>
              <w:spacing w:after="0"/>
            </w:pPr>
            <w:r>
              <w:rPr>
                <w:b w:val="false"/>
                <w:bCs w:val="false"/>
                <w:sz w:val="19"/>
                <w:szCs w:val="19"/>
              </w:rPr>
              <w:t xml:space="preserve">Europe HQ</w:t>
            </w:r>
          </w:p>
        </w:tc>
        <w:tc>
          <w:tcPr>
            <w:tcW w:type="dxa" w:w="1500"/>
            <w:tcMar>
              <w:top w:type="dxa" w:w="70"/>
              <w:left w:type="dxa" w:w="110"/>
              <w:bottom w:type="dxa" w:w="70"/>
              <w:right w:type="dxa" w:w="110"/>
            </w:tcMar>
          </w:tcPr>
          <w:p>
            <w:pPr>
              <w:spacing w:after="0"/>
            </w:pPr>
            <w:r>
              <w:rPr>
                <w:b w:val="false"/>
                <w:bCs w:val="false"/>
                <w:sz w:val="19"/>
                <w:szCs w:val="19"/>
              </w:rPr>
              <w:t xml:space="preserve">0</w:t>
            </w:r>
          </w:p>
        </w:tc>
        <w:tc>
          <w:tcPr>
            <w:tcW w:type="dxa" w:w="1400"/>
            <w:tcMar>
              <w:top w:type="dxa" w:w="70"/>
              <w:left w:type="dxa" w:w="110"/>
              <w:bottom w:type="dxa" w:w="70"/>
              <w:right w:type="dxa" w:w="110"/>
            </w:tcMar>
          </w:tcPr>
          <w:p>
            <w:pPr>
              <w:spacing w:after="0"/>
            </w:pPr>
            <w:r>
              <w:rPr>
                <w:b w:val="false"/>
                <w:bCs w:val="false"/>
                <w:sz w:val="19"/>
                <w:szCs w:val="19"/>
              </w:rPr>
              <w:t xml:space="preserve">0</w:t>
            </w:r>
          </w:p>
        </w:tc>
        <w:tc>
          <w:tcPr>
            <w:tcW w:type="dxa" w:w="4060"/>
            <w:tcMar>
              <w:top w:type="dxa" w:w="70"/>
              <w:left w:type="dxa" w:w="110"/>
              <w:bottom w:type="dxa" w:w="70"/>
              <w:right w:type="dxa" w:w="110"/>
            </w:tcMar>
          </w:tcPr>
          <w:p>
            <w:pPr>
              <w:spacing w:after="0"/>
            </w:pPr>
            <w:r>
              <w:rPr>
                <w:b w:val="false"/>
                <w:bCs w:val="false"/>
                <w:sz w:val="19"/>
                <w:szCs w:val="19"/>
              </w:rPr>
              <w:t xml:space="preserve">No — dimension row with no transactions</w:t>
            </w:r>
          </w:p>
        </w:tc>
      </w:tr>
    </w:tbl>
    <w:p>
      <w:pPr>
        <w:pStyle w:val="Heading2"/>
        <w:spacing w:after="110" w:before="300"/>
      </w:pPr>
      <w:r>
        <w:t xml:space="preserve">10.2 SQL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shd w:fill="DCE6F1" w:val="clear"/>
            <w:tcMar>
              <w:top w:type="dxa" w:w="70"/>
              <w:left w:type="dxa" w:w="110"/>
              <w:bottom w:type="dxa" w:w="70"/>
              <w:right w:type="dxa" w:w="110"/>
            </w:tcMar>
          </w:tcPr>
          <w:p>
            <w:pPr>
              <w:spacing w:after="0"/>
            </w:pPr>
            <w:r>
              <w:rPr>
                <w:b/>
                <w:bCs/>
                <w:sz w:val="19"/>
                <w:szCs w:val="19"/>
              </w:rPr>
              <w:t xml:space="preserve">Question</w:t>
            </w:r>
          </w:p>
        </w:tc>
        <w:tc>
          <w:tcPr>
            <w:tcW w:type="dxa" w:w="5360"/>
            <w:shd w:fill="DCE6F1" w:val="clear"/>
            <w:tcMar>
              <w:top w:type="dxa" w:w="70"/>
              <w:left w:type="dxa" w:w="110"/>
              <w:bottom w:type="dxa" w:w="70"/>
              <w:right w:type="dxa" w:w="110"/>
            </w:tcMar>
          </w:tcPr>
          <w:p>
            <w:pPr>
              <w:spacing w:after="0"/>
            </w:pPr>
            <w:r>
              <w:rPr>
                <w:b/>
                <w:bCs/>
                <w:sz w:val="19"/>
                <w:szCs w:val="19"/>
              </w:rPr>
              <w:t xml:space="preserve">Answer returned</w:t>
            </w:r>
          </w:p>
        </w:tc>
      </w:tr>
      <w:tr>
        <w:tc>
          <w:tcPr>
            <w:tcW w:type="dxa" w:w="4000"/>
            <w:tcMar>
              <w:top w:type="dxa" w:w="70"/>
              <w:left w:type="dxa" w:w="110"/>
              <w:bottom w:type="dxa" w:w="70"/>
              <w:right w:type="dxa" w:w="110"/>
            </w:tcMar>
          </w:tcPr>
          <w:p>
            <w:pPr>
              <w:spacing w:after="0"/>
            </w:pPr>
            <w:r>
              <w:rPr>
                <w:b w:val="false"/>
                <w:bCs w:val="false"/>
                <w:sz w:val="19"/>
                <w:szCs w:val="19"/>
              </w:rPr>
              <w:t xml:space="preserve">What were total Engineering expenses in August 2025?</w:t>
            </w:r>
          </w:p>
        </w:tc>
        <w:tc>
          <w:tcPr>
            <w:tcW w:type="dxa" w:w="5360"/>
            <w:tcMar>
              <w:top w:type="dxa" w:w="70"/>
              <w:left w:type="dxa" w:w="110"/>
              <w:bottom w:type="dxa" w:w="70"/>
              <w:right w:type="dxa" w:w="110"/>
            </w:tcMar>
          </w:tcPr>
          <w:p>
            <w:pPr>
              <w:spacing w:after="0"/>
            </w:pPr>
            <w:r>
              <w:rPr>
                <w:b w:val="false"/>
                <w:bCs w:val="false"/>
                <w:sz w:val="19"/>
                <w:szCs w:val="19"/>
              </w:rPr>
              <w:t xml:space="preserve">176000 — four ledger lines</w:t>
            </w:r>
          </w:p>
        </w:tc>
      </w:tr>
      <w:tr>
        <w:tc>
          <w:tcPr>
            <w:tcW w:type="dxa" w:w="4000"/>
            <w:tcMar>
              <w:top w:type="dxa" w:w="70"/>
              <w:left w:type="dxa" w:w="110"/>
              <w:bottom w:type="dxa" w:w="70"/>
              <w:right w:type="dxa" w:w="110"/>
            </w:tcMar>
          </w:tcPr>
          <w:p>
            <w:pPr>
              <w:spacing w:after="0"/>
            </w:pPr>
            <w:r>
              <w:rPr>
                <w:b w:val="false"/>
                <w:bCs w:val="false"/>
                <w:sz w:val="19"/>
                <w:szCs w:val="19"/>
              </w:rPr>
              <w:t xml:space="preserve">Which department spent the most last quarter?</w:t>
            </w:r>
          </w:p>
        </w:tc>
        <w:tc>
          <w:tcPr>
            <w:tcW w:type="dxa" w:w="5360"/>
            <w:tcMar>
              <w:top w:type="dxa" w:w="70"/>
              <w:left w:type="dxa" w:w="110"/>
              <w:bottom w:type="dxa" w:w="70"/>
              <w:right w:type="dxa" w:w="110"/>
            </w:tcMar>
          </w:tcPr>
          <w:p>
            <w:pPr>
              <w:spacing w:after="0"/>
            </w:pPr>
            <w:r>
              <w:rPr>
                <w:b w:val="false"/>
                <w:bCs w:val="false"/>
                <w:sz w:val="19"/>
                <w:szCs w:val="19"/>
              </w:rPr>
              <w:t xml:space="preserve">Finance. Confirmed by direct SQL: 471,000 across JUL to SEP 2025</w:t>
            </w:r>
          </w:p>
        </w:tc>
      </w:tr>
      <w:tr>
        <w:tc>
          <w:tcPr>
            <w:tcW w:type="dxa" w:w="4000"/>
            <w:tcMar>
              <w:top w:type="dxa" w:w="70"/>
              <w:left w:type="dxa" w:w="110"/>
              <w:bottom w:type="dxa" w:w="70"/>
              <w:right w:type="dxa" w:w="110"/>
            </w:tcMar>
          </w:tcPr>
          <w:p>
            <w:pPr>
              <w:spacing w:after="0"/>
            </w:pPr>
            <w:r>
              <w:rPr>
                <w:b w:val="false"/>
                <w:bCs w:val="false"/>
                <w:sz w:val="19"/>
                <w:szCs w:val="19"/>
              </w:rPr>
              <w:t xml:space="preserve">How many journal lines posted in AUG-2025?</w:t>
            </w:r>
          </w:p>
        </w:tc>
        <w:tc>
          <w:tcPr>
            <w:tcW w:type="dxa" w:w="5360"/>
            <w:tcMar>
              <w:top w:type="dxa" w:w="70"/>
              <w:left w:type="dxa" w:w="110"/>
              <w:bottom w:type="dxa" w:w="70"/>
              <w:right w:type="dxa" w:w="110"/>
            </w:tcMar>
          </w:tcPr>
          <w:p>
            <w:pPr>
              <w:spacing w:after="0"/>
            </w:pPr>
            <w:r>
              <w:rPr>
                <w:b w:val="false"/>
                <w:bCs w:val="false"/>
                <w:sz w:val="19"/>
                <w:szCs w:val="19"/>
              </w:rPr>
              <w:t xml:space="preserve">15 — matches the table</w:t>
            </w:r>
          </w:p>
        </w:tc>
      </w:tr>
      <w:tr>
        <w:tc>
          <w:tcPr>
            <w:tcW w:type="dxa" w:w="4000"/>
            <w:tcMar>
              <w:top w:type="dxa" w:w="70"/>
              <w:left w:type="dxa" w:w="110"/>
              <w:bottom w:type="dxa" w:w="70"/>
              <w:right w:type="dxa" w:w="110"/>
            </w:tcMar>
          </w:tcPr>
          <w:p>
            <w:pPr>
              <w:spacing w:after="0"/>
            </w:pPr>
            <w:r>
              <w:rPr>
                <w:b w:val="false"/>
                <w:bCs w:val="false"/>
                <w:sz w:val="19"/>
                <w:szCs w:val="19"/>
              </w:rPr>
              <w:t xml:space="preserve">How much did Europe HQ spend in 2025?</w:t>
            </w:r>
          </w:p>
        </w:tc>
        <w:tc>
          <w:tcPr>
            <w:tcW w:type="dxa" w:w="5360"/>
            <w:tcMar>
              <w:top w:type="dxa" w:w="70"/>
              <w:left w:type="dxa" w:w="110"/>
              <w:bottom w:type="dxa" w:w="70"/>
              <w:right w:type="dxa" w:w="110"/>
            </w:tcMar>
          </w:tcPr>
          <w:p>
            <w:pPr>
              <w:spacing w:after="0"/>
            </w:pPr>
            <w:r>
              <w:rPr>
                <w:b w:val="false"/>
                <w:bCs w:val="false"/>
                <w:sz w:val="19"/>
                <w:szCs w:val="19"/>
              </w:rPr>
              <w:t xml:space="preserve">No data found for Europe HQ spending in 2025</w:t>
            </w:r>
          </w:p>
        </w:tc>
      </w:tr>
    </w:tbl>
    <w:p>
      <w:pPr>
        <w:spacing w:after="140"/>
        <w:jc w:val="both"/>
      </w:pPr>
      <w:r>
        <w:rPr>
          <w:sz w:val="21"/>
          <w:szCs w:val="21"/>
        </w:rPr>
        <w:t xml:space="preserve">The last one is the most valuable question in the set. The department exists in the dimension and has no transactions, so a model answering from plausibility would invent a figure. The correct behavior is the refusal, and it demonstrates the task instruction working.</w:t>
      </w:r>
    </w:p>
    <w:p>
      <w:pPr>
        <w:pStyle w:val="Heading2"/>
        <w:spacing w:after="110" w:before="300"/>
      </w:pPr>
      <w:r>
        <w:t xml:space="preserve">10.3 RAG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DCE6F1" w:val="clear"/>
            <w:tcMar>
              <w:top w:type="dxa" w:w="70"/>
              <w:left w:type="dxa" w:w="110"/>
              <w:bottom w:type="dxa" w:w="70"/>
              <w:right w:type="dxa" w:w="110"/>
            </w:tcMar>
          </w:tcPr>
          <w:p>
            <w:pPr>
              <w:spacing w:after="0"/>
            </w:pPr>
            <w:r>
              <w:rPr>
                <w:b/>
                <w:bCs/>
                <w:sz w:val="19"/>
                <w:szCs w:val="19"/>
              </w:rPr>
              <w:t xml:space="preserve">Question</w:t>
            </w:r>
          </w:p>
        </w:tc>
        <w:tc>
          <w:tcPr>
            <w:tcW w:type="dxa" w:w="5760"/>
            <w:shd w:fill="DCE6F1" w:val="clear"/>
            <w:tcMar>
              <w:top w:type="dxa" w:w="70"/>
              <w:left w:type="dxa" w:w="110"/>
              <w:bottom w:type="dxa" w:w="70"/>
              <w:right w:type="dxa" w:w="110"/>
            </w:tcMar>
          </w:tcPr>
          <w:p>
            <w:pPr>
              <w:spacing w:after="0"/>
            </w:pPr>
            <w:r>
              <w:rPr>
                <w:b/>
                <w:bCs/>
                <w:sz w:val="19"/>
                <w:szCs w:val="19"/>
              </w:rPr>
              <w:t xml:space="preserve">Answer returned</w:t>
            </w:r>
          </w:p>
        </w:tc>
      </w:tr>
      <w:tr>
        <w:tc>
          <w:tcPr>
            <w:tcW w:type="dxa" w:w="3600"/>
            <w:tcMar>
              <w:top w:type="dxa" w:w="70"/>
              <w:left w:type="dxa" w:w="110"/>
              <w:bottom w:type="dxa" w:w="70"/>
              <w:right w:type="dxa" w:w="110"/>
            </w:tcMar>
          </w:tcPr>
          <w:p>
            <w:pPr>
              <w:spacing w:after="0"/>
            </w:pPr>
            <w:r>
              <w:rPr>
                <w:b w:val="false"/>
                <w:bCs w:val="false"/>
                <w:sz w:val="19"/>
                <w:szCs w:val="19"/>
              </w:rPr>
              <w:t xml:space="preserve">Which transactions require CFO sign-off?</w:t>
            </w:r>
          </w:p>
        </w:tc>
        <w:tc>
          <w:tcPr>
            <w:tcW w:type="dxa" w:w="5760"/>
            <w:tcMar>
              <w:top w:type="dxa" w:w="70"/>
              <w:left w:type="dxa" w:w="110"/>
              <w:bottom w:type="dxa" w:w="70"/>
              <w:right w:type="dxa" w:w="110"/>
            </w:tcMar>
          </w:tcPr>
          <w:p>
            <w:pPr>
              <w:spacing w:after="0"/>
            </w:pPr>
            <w:r>
              <w:rPr>
                <w:b w:val="false"/>
                <w:bCs w:val="false"/>
                <w:sz w:val="19"/>
                <w:szCs w:val="19"/>
              </w:rPr>
              <w:t xml:space="preserve">Intercompany balances above $50,000</w:t>
            </w:r>
          </w:p>
        </w:tc>
      </w:tr>
      <w:tr>
        <w:tc>
          <w:tcPr>
            <w:tcW w:type="dxa" w:w="3600"/>
            <w:tcMar>
              <w:top w:type="dxa" w:w="70"/>
              <w:left w:type="dxa" w:w="110"/>
              <w:bottom w:type="dxa" w:w="70"/>
              <w:right w:type="dxa" w:w="110"/>
            </w:tcMar>
          </w:tcPr>
          <w:p>
            <w:pPr>
              <w:spacing w:after="0"/>
            </w:pPr>
            <w:r>
              <w:rPr>
                <w:b w:val="false"/>
                <w:bCs w:val="false"/>
                <w:sz w:val="19"/>
                <w:szCs w:val="19"/>
              </w:rPr>
              <w:t xml:space="preserve">What are the steps in the period close checklist?</w:t>
            </w:r>
          </w:p>
        </w:tc>
        <w:tc>
          <w:tcPr>
            <w:tcW w:type="dxa" w:w="5760"/>
            <w:tcMar>
              <w:top w:type="dxa" w:w="70"/>
              <w:left w:type="dxa" w:w="110"/>
              <w:bottom w:type="dxa" w:w="70"/>
              <w:right w:type="dxa" w:w="110"/>
            </w:tcMar>
          </w:tcPr>
          <w:p>
            <w:pPr>
              <w:spacing w:after="0"/>
            </w:pPr>
            <w:r>
              <w:rPr>
                <w:b w:val="false"/>
                <w:bCs w:val="false"/>
                <w:sz w:val="19"/>
                <w:szCs w:val="19"/>
              </w:rPr>
              <w:t xml:space="preserve">Verify balances in Fusion ERP; execute automated reconciliations; review exception reports; obtain approvals; archive results</w:t>
            </w:r>
          </w:p>
        </w:tc>
      </w:tr>
      <w:tr>
        <w:tc>
          <w:tcPr>
            <w:tcW w:type="dxa" w:w="3600"/>
            <w:tcMar>
              <w:top w:type="dxa" w:w="70"/>
              <w:left w:type="dxa" w:w="110"/>
              <w:bottom w:type="dxa" w:w="70"/>
              <w:right w:type="dxa" w:w="110"/>
            </w:tcMar>
          </w:tcPr>
          <w:p>
            <w:pPr>
              <w:spacing w:after="0"/>
            </w:pPr>
            <w:r>
              <w:rPr>
                <w:b w:val="false"/>
                <w:bCs w:val="false"/>
                <w:sz w:val="19"/>
                <w:szCs w:val="19"/>
              </w:rPr>
              <w:t xml:space="preserve">What is the approval threshold for a journal entry?</w:t>
            </w:r>
          </w:p>
        </w:tc>
        <w:tc>
          <w:tcPr>
            <w:tcW w:type="dxa" w:w="5760"/>
            <w:tcMar>
              <w:top w:type="dxa" w:w="70"/>
              <w:left w:type="dxa" w:w="110"/>
              <w:bottom w:type="dxa" w:w="70"/>
              <w:right w:type="dxa" w:w="110"/>
            </w:tcMar>
          </w:tcPr>
          <w:p>
            <w:pPr>
              <w:spacing w:after="0"/>
            </w:pPr>
            <w:r>
              <w:rPr>
                <w:b w:val="false"/>
                <w:bCs w:val="false"/>
                <w:sz w:val="19"/>
                <w:szCs w:val="19"/>
              </w:rPr>
              <w:t xml:space="preserve">Hedged. Returned the $10,000 Level 2 threshold while noting it does not directly answer the question</w:t>
            </w:r>
          </w:p>
        </w:tc>
      </w:tr>
    </w:tbl>
    <w:p>
      <w:pPr>
        <w:pBdr>
          <w:top w:val="single" w:color="C87F0A" w:sz="4" w:space="7"/>
          <w:bottom w:val="single" w:color="C87F0A" w:sz="4" w:space="7"/>
          <w:left w:val="single" w:color="C87F0A" w:sz="20" w:space="9"/>
          <w:right w:val="single" w:color="C87F0A" w:sz="4" w:space="7"/>
        </w:pBdr>
        <w:shd w:fill="FDF3E3" w:val="clear"/>
        <w:spacing w:after="180" w:before="120"/>
        <w:ind w:left="170" w:right="170"/>
      </w:pPr>
      <w:r>
        <w:rPr>
          <w:b/>
          <w:bCs/>
          <w:sz w:val="20"/>
          <w:szCs w:val="20"/>
        </w:rPr>
        <w:t xml:space="preserve">CAUTION   </w:t>
      </w:r>
      <w:r>
        <w:rPr>
          <w:sz w:val="20"/>
          <w:szCs w:val="20"/>
        </w:rPr>
        <w:t xml:space="preserve">The knowledge base contains two different thresholds — $10,000 for Level 2 managerial approval and $50,000 for CFO sign-off. A question that says only "the approval threshold" is ambiguous against that corpus, and the agent hedges rather than picking one. Name the approval you mean. This is a question-design fault, not a retrieval fault.</w:t>
      </w:r>
    </w:p>
    <w:p>
      <w:pPr>
        <w:spacing w:after="140"/>
        <w:jc w:val="both"/>
      </w:pPr>
      <w:r>
        <w:rPr>
          <w:sz w:val="21"/>
          <w:szCs w:val="21"/>
        </w:rPr>
        <w:t xml:space="preserve">A question with no answer in the corpus — segregation of duties, for instance — produces a plausible-sounding paragraph assembled from adjacent material rather than a refusal. Retrieval questions do not fail as cleanly as SQL questions do, which is worth knowing before you demonstrate one.</w:t>
      </w:r>
    </w:p>
    <w:p>
      <w:pPr>
        <w:pStyle w:val="Heading2"/>
        <w:spacing w:after="110" w:before="300"/>
      </w:pPr>
      <w:r>
        <w:t xml:space="preserve">10.4 Trend, forecast and anomaly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DCE6F1" w:val="clear"/>
            <w:tcMar>
              <w:top w:type="dxa" w:w="70"/>
              <w:left w:type="dxa" w:w="110"/>
              <w:bottom w:type="dxa" w:w="70"/>
              <w:right w:type="dxa" w:w="110"/>
            </w:tcMar>
          </w:tcPr>
          <w:p>
            <w:pPr>
              <w:spacing w:after="0"/>
            </w:pPr>
            <w:r>
              <w:rPr>
                <w:b/>
                <w:bCs/>
                <w:sz w:val="19"/>
                <w:szCs w:val="19"/>
              </w:rPr>
              <w:t xml:space="preserve">Question</w:t>
            </w:r>
          </w:p>
        </w:tc>
        <w:tc>
          <w:tcPr>
            <w:tcW w:type="dxa" w:w="5760"/>
            <w:shd w:fill="DCE6F1" w:val="clear"/>
            <w:tcMar>
              <w:top w:type="dxa" w:w="70"/>
              <w:left w:type="dxa" w:w="110"/>
              <w:bottom w:type="dxa" w:w="70"/>
              <w:right w:type="dxa" w:w="110"/>
            </w:tcMar>
          </w:tcPr>
          <w:p>
            <w:pPr>
              <w:spacing w:after="0"/>
            </w:pPr>
            <w:r>
              <w:rPr>
                <w:b/>
                <w:bCs/>
                <w:sz w:val="19"/>
                <w:szCs w:val="19"/>
              </w:rPr>
              <w:t xml:space="preserve">Answer returned</w:t>
            </w:r>
          </w:p>
        </w:tc>
      </w:tr>
      <w:tr>
        <w:tc>
          <w:tcPr>
            <w:tcW w:type="dxa" w:w="3600"/>
            <w:tcMar>
              <w:top w:type="dxa" w:w="70"/>
              <w:left w:type="dxa" w:w="110"/>
              <w:bottom w:type="dxa" w:w="70"/>
              <w:right w:type="dxa" w:w="110"/>
            </w:tcMar>
          </w:tcPr>
          <w:p>
            <w:pPr>
              <w:spacing w:after="0"/>
            </w:pPr>
            <w:r>
              <w:rPr>
                <w:b w:val="false"/>
                <w:bCs w:val="false"/>
                <w:sz w:val="19"/>
                <w:szCs w:val="19"/>
              </w:rPr>
              <w:t xml:space="preserve">Which periods show unusual spending above a 30 percent threshold?</w:t>
            </w:r>
          </w:p>
        </w:tc>
        <w:tc>
          <w:tcPr>
            <w:tcW w:type="dxa" w:w="5760"/>
            <w:tcMar>
              <w:top w:type="dxa" w:w="70"/>
              <w:left w:type="dxa" w:w="110"/>
              <w:bottom w:type="dxa" w:w="70"/>
              <w:right w:type="dxa" w:w="110"/>
            </w:tcMar>
          </w:tcPr>
          <w:p>
            <w:pPr>
              <w:spacing w:after="0"/>
            </w:pPr>
            <w:r>
              <w:rPr>
                <w:b w:val="false"/>
                <w:bCs w:val="false"/>
                <w:sz w:val="19"/>
                <w:szCs w:val="19"/>
              </w:rPr>
              <w:t xml:space="preserve">Engineering AUG-2025 at 179.12%; Sales JUN-2025 at 89.46%; Finance MAY-2025 at 68.64%; Operations JUN-2025 at 30.19%</w:t>
            </w:r>
          </w:p>
        </w:tc>
      </w:tr>
      <w:tr>
        <w:tc>
          <w:tcPr>
            <w:tcW w:type="dxa" w:w="3600"/>
            <w:tcMar>
              <w:top w:type="dxa" w:w="70"/>
              <w:left w:type="dxa" w:w="110"/>
              <w:bottom w:type="dxa" w:w="70"/>
              <w:right w:type="dxa" w:w="110"/>
            </w:tcMar>
          </w:tcPr>
          <w:p>
            <w:pPr>
              <w:spacing w:after="0"/>
            </w:pPr>
            <w:r>
              <w:rPr>
                <w:b w:val="false"/>
                <w:bCs w:val="false"/>
                <w:sz w:val="19"/>
                <w:szCs w:val="19"/>
              </w:rPr>
              <w:t xml:space="preserve">Forecast Engineering spend for the next three periods.</w:t>
            </w:r>
          </w:p>
        </w:tc>
        <w:tc>
          <w:tcPr>
            <w:tcW w:type="dxa" w:w="5760"/>
            <w:tcMar>
              <w:top w:type="dxa" w:w="70"/>
              <w:left w:type="dxa" w:w="110"/>
              <w:bottom w:type="dxa" w:w="70"/>
              <w:right w:type="dxa" w:w="110"/>
            </w:tcMar>
          </w:tcPr>
          <w:p>
            <w:pPr>
              <w:spacing w:after="0"/>
            </w:pPr>
            <w:r>
              <w:rPr>
                <w:b w:val="false"/>
                <w:bCs w:val="false"/>
                <w:sz w:val="19"/>
                <w:szCs w:val="19"/>
              </w:rPr>
              <w:t xml:space="preserve">42,930.56 then 38,905.56 then 34,880.56</w:t>
            </w:r>
          </w:p>
        </w:tc>
      </w:tr>
      <w:tr>
        <w:tc>
          <w:tcPr>
            <w:tcW w:type="dxa" w:w="3600"/>
            <w:tcMar>
              <w:top w:type="dxa" w:w="70"/>
              <w:left w:type="dxa" w:w="110"/>
              <w:bottom w:type="dxa" w:w="70"/>
              <w:right w:type="dxa" w:w="110"/>
            </w:tcMar>
          </w:tcPr>
          <w:p>
            <w:pPr>
              <w:spacing w:after="0"/>
            </w:pPr>
            <w:r>
              <w:rPr>
                <w:b w:val="false"/>
                <w:bCs w:val="false"/>
                <w:sz w:val="19"/>
                <w:szCs w:val="19"/>
              </w:rPr>
              <w:t xml:space="preserve">How have Engineering expenses trended over the last six periods?</w:t>
            </w:r>
          </w:p>
        </w:tc>
        <w:tc>
          <w:tcPr>
            <w:tcW w:type="dxa" w:w="5760"/>
            <w:tcMar>
              <w:top w:type="dxa" w:w="70"/>
              <w:left w:type="dxa" w:w="110"/>
              <w:bottom w:type="dxa" w:w="70"/>
              <w:right w:type="dxa" w:w="110"/>
            </w:tcMar>
          </w:tcPr>
          <w:p>
            <w:pPr>
              <w:spacing w:after="0"/>
            </w:pPr>
            <w:r>
              <w:rPr>
                <w:b w:val="false"/>
                <w:bCs w:val="false"/>
                <w:sz w:val="19"/>
                <w:szCs w:val="19"/>
              </w:rPr>
              <w:t xml:space="preserve">Returns figures, but see the caution below</w:t>
            </w:r>
          </w:p>
        </w:tc>
      </w:tr>
    </w:tbl>
    <w:p>
      <w:pPr>
        <w:pBdr>
          <w:top w:val="single" w:color="C87F0A" w:sz="4" w:space="7"/>
          <w:bottom w:val="single" w:color="C87F0A" w:sz="4" w:space="7"/>
          <w:left w:val="single" w:color="C87F0A" w:sz="20" w:space="9"/>
          <w:right w:val="single" w:color="C87F0A" w:sz="4" w:space="7"/>
        </w:pBdr>
        <w:shd w:fill="FDF3E3" w:val="clear"/>
        <w:spacing w:after="180" w:before="120"/>
        <w:ind w:left="170" w:right="170"/>
      </w:pPr>
      <w:r>
        <w:rPr>
          <w:b/>
          <w:bCs/>
          <w:sz w:val="20"/>
          <w:szCs w:val="20"/>
        </w:rPr>
        <w:t xml:space="preserve">CAUTION   </w:t>
      </w:r>
      <w:r>
        <w:rPr>
          <w:sz w:val="20"/>
          <w:szCs w:val="20"/>
        </w:rPr>
        <w:t xml:space="preserve">Do not open a question with the word Project. "Project Engineering spend for the next three periods" was parsed as a department named Project Engineering, and the agent correctly reported that no such department has history. The imperative reads as a noun phrase. Use Forecast instead — the same question then returns a projection.</w:t>
      </w:r>
    </w:p>
    <w:p>
      <w:pPr>
        <w:pBdr>
          <w:top w:val="single" w:color="C87F0A" w:sz="4" w:space="7"/>
          <w:bottom w:val="single" w:color="C87F0A" w:sz="4" w:space="7"/>
          <w:left w:val="single" w:color="C87F0A" w:sz="20" w:space="9"/>
          <w:right w:val="single" w:color="C87F0A" w:sz="4" w:space="7"/>
        </w:pBdr>
        <w:shd w:fill="FDF3E3" w:val="clear"/>
        <w:spacing w:after="180" w:before="120"/>
        <w:ind w:left="170" w:right="170"/>
      </w:pPr>
      <w:r>
        <w:rPr>
          <w:b/>
          <w:bCs/>
          <w:sz w:val="20"/>
          <w:szCs w:val="20"/>
        </w:rPr>
        <w:t xml:space="preserve">CAUTION   </w:t>
      </w:r>
      <w:r>
        <w:rPr>
          <w:sz w:val="20"/>
          <w:szCs w:val="20"/>
        </w:rPr>
        <w:t xml:space="preserve">The trend tool narrates periods out of chronological order — one run reported JAN-2025, then JUL-2025, then JUN-2025, then MAR-2025. The underlying figures are right and the ordering is not, so the narration reads as nonsense on close inspection. Do not put this tool in front of an audience that will read the sequence.</w:t>
      </w:r>
    </w:p>
    <w:p>
      <w:pPr>
        <w:pStyle w:val="Heading2"/>
        <w:spacing w:after="110" w:before="300"/>
      </w:pPr>
      <w:r>
        <w:t xml:space="preserve">10.5 Python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4560"/>
        <w:gridCol w:w="1400"/>
      </w:tblGrid>
      <w:tr>
        <w:trPr>
          <w:tblHeader/>
        </w:trPr>
        <w:tc>
          <w:tcPr>
            <w:tcW w:type="dxa" w:w="3400"/>
            <w:shd w:fill="DCE6F1" w:val="clear"/>
            <w:tcMar>
              <w:top w:type="dxa" w:w="70"/>
              <w:left w:type="dxa" w:w="110"/>
              <w:bottom w:type="dxa" w:w="70"/>
              <w:right w:type="dxa" w:w="110"/>
            </w:tcMar>
          </w:tcPr>
          <w:p>
            <w:pPr>
              <w:spacing w:after="0"/>
            </w:pPr>
            <w:r>
              <w:rPr>
                <w:b/>
                <w:bCs/>
                <w:sz w:val="19"/>
                <w:szCs w:val="19"/>
              </w:rPr>
              <w:t xml:space="preserve">Question</w:t>
            </w:r>
          </w:p>
        </w:tc>
        <w:tc>
          <w:tcPr>
            <w:tcW w:type="dxa" w:w="4560"/>
            <w:shd w:fill="DCE6F1" w:val="clear"/>
            <w:tcMar>
              <w:top w:type="dxa" w:w="70"/>
              <w:left w:type="dxa" w:w="110"/>
              <w:bottom w:type="dxa" w:w="70"/>
              <w:right w:type="dxa" w:w="110"/>
            </w:tcMar>
          </w:tcPr>
          <w:p>
            <w:pPr>
              <w:spacing w:after="0"/>
            </w:pPr>
            <w:r>
              <w:rPr>
                <w:b/>
                <w:bCs/>
                <w:sz w:val="19"/>
                <w:szCs w:val="19"/>
              </w:rPr>
              <w:t xml:space="preserve">Answer returned</w:t>
            </w:r>
          </w:p>
        </w:tc>
        <w:tc>
          <w:tcPr>
            <w:tcW w:type="dxa" w:w="1400"/>
            <w:shd w:fill="DCE6F1" w:val="clear"/>
            <w:tcMar>
              <w:top w:type="dxa" w:w="70"/>
              <w:left w:type="dxa" w:w="110"/>
              <w:bottom w:type="dxa" w:w="70"/>
              <w:right w:type="dxa" w:w="110"/>
            </w:tcMar>
          </w:tcPr>
          <w:p>
            <w:pPr>
              <w:spacing w:after="0"/>
            </w:pPr>
            <w:r>
              <w:rPr>
                <w:b/>
                <w:bCs/>
                <w:sz w:val="19"/>
                <w:szCs w:val="19"/>
              </w:rPr>
              <w:t xml:space="preserve">Elapsed</w:t>
            </w:r>
          </w:p>
        </w:tc>
      </w:tr>
      <w:tr>
        <w:tc>
          <w:tcPr>
            <w:tcW w:type="dxa" w:w="3400"/>
            <w:tcMar>
              <w:top w:type="dxa" w:w="70"/>
              <w:left w:type="dxa" w:w="110"/>
              <w:bottom w:type="dxa" w:w="70"/>
              <w:right w:type="dxa" w:w="110"/>
            </w:tcMar>
          </w:tcPr>
          <w:p>
            <w:pPr>
              <w:spacing w:after="0"/>
            </w:pPr>
            <w:r>
              <w:rPr>
                <w:b w:val="false"/>
                <w:bCs w:val="false"/>
                <w:sz w:val="19"/>
                <w:szCs w:val="19"/>
              </w:rPr>
              <w:t xml:space="preserve">Give me the standard deviation and peak period for Engineering.</w:t>
            </w:r>
          </w:p>
        </w:tc>
        <w:tc>
          <w:tcPr>
            <w:tcW w:type="dxa" w:w="4560"/>
            <w:tcMar>
              <w:top w:type="dxa" w:w="70"/>
              <w:left w:type="dxa" w:w="110"/>
              <w:bottom w:type="dxa" w:w="70"/>
              <w:right w:type="dxa" w:w="110"/>
            </w:tcMar>
          </w:tcPr>
          <w:p>
            <w:pPr>
              <w:spacing w:after="0"/>
            </w:pPr>
            <w:r>
              <w:rPr>
                <w:b w:val="false"/>
                <w:bCs w:val="false"/>
                <w:sz w:val="19"/>
                <w:szCs w:val="19"/>
              </w:rPr>
              <w:t xml:space="preserve">Standard deviation 42,667.61; peak period AUG-2025</w:t>
            </w:r>
          </w:p>
        </w:tc>
        <w:tc>
          <w:tcPr>
            <w:tcW w:type="dxa" w:w="1400"/>
            <w:tcMar>
              <w:top w:type="dxa" w:w="70"/>
              <w:left w:type="dxa" w:w="110"/>
              <w:bottom w:type="dxa" w:w="70"/>
              <w:right w:type="dxa" w:w="110"/>
            </w:tcMar>
          </w:tcPr>
          <w:p>
            <w:pPr>
              <w:spacing w:after="0"/>
            </w:pPr>
            <w:r>
              <w:rPr>
                <w:b w:val="false"/>
                <w:bCs w:val="false"/>
                <w:sz w:val="19"/>
                <w:szCs w:val="19"/>
              </w:rPr>
              <w:t xml:space="preserve">38s</w:t>
            </w:r>
          </w:p>
        </w:tc>
      </w:tr>
      <w:tr>
        <w:tc>
          <w:tcPr>
            <w:tcW w:type="dxa" w:w="3400"/>
            <w:tcMar>
              <w:top w:type="dxa" w:w="70"/>
              <w:left w:type="dxa" w:w="110"/>
              <w:bottom w:type="dxa" w:w="70"/>
              <w:right w:type="dxa" w:w="110"/>
            </w:tcMar>
          </w:tcPr>
          <w:p>
            <w:pPr>
              <w:spacing w:after="0"/>
            </w:pPr>
            <w:r>
              <w:rPr>
                <w:b w:val="false"/>
                <w:bCs w:val="false"/>
                <w:sz w:val="19"/>
                <w:szCs w:val="19"/>
              </w:rPr>
              <w:t xml:space="preserve">Give me the standard deviation and peak period for Sales.</w:t>
            </w:r>
          </w:p>
        </w:tc>
        <w:tc>
          <w:tcPr>
            <w:tcW w:type="dxa" w:w="4560"/>
            <w:tcMar>
              <w:top w:type="dxa" w:w="70"/>
              <w:left w:type="dxa" w:w="110"/>
              <w:bottom w:type="dxa" w:w="70"/>
              <w:right w:type="dxa" w:w="110"/>
            </w:tcMar>
          </w:tcPr>
          <w:p>
            <w:pPr>
              <w:spacing w:after="0"/>
            </w:pPr>
            <w:r>
              <w:rPr>
                <w:b w:val="false"/>
                <w:bCs w:val="false"/>
                <w:sz w:val="19"/>
                <w:szCs w:val="19"/>
              </w:rPr>
              <w:t xml:space="preserve">Standard deviation 24,569.51; peak period JUN-2025</w:t>
            </w:r>
          </w:p>
        </w:tc>
        <w:tc>
          <w:tcPr>
            <w:tcW w:type="dxa" w:w="1400"/>
            <w:tcMar>
              <w:top w:type="dxa" w:w="70"/>
              <w:left w:type="dxa" w:w="110"/>
              <w:bottom w:type="dxa" w:w="70"/>
              <w:right w:type="dxa" w:w="110"/>
            </w:tcMar>
          </w:tcPr>
          <w:p>
            <w:pPr>
              <w:spacing w:after="0"/>
            </w:pPr>
            <w:r>
              <w:rPr>
                <w:b w:val="false"/>
                <w:bCs w:val="false"/>
                <w:sz w:val="19"/>
                <w:szCs w:val="19"/>
              </w:rPr>
              <w:t xml:space="preserve">36s</w:t>
            </w:r>
          </w:p>
        </w:tc>
      </w:tr>
      <w:tr>
        <w:tc>
          <w:tcPr>
            <w:tcW w:type="dxa" w:w="3400"/>
            <w:tcMar>
              <w:top w:type="dxa" w:w="70"/>
              <w:left w:type="dxa" w:w="110"/>
              <w:bottom w:type="dxa" w:w="70"/>
              <w:right w:type="dxa" w:w="110"/>
            </w:tcMar>
          </w:tcPr>
          <w:p>
            <w:pPr>
              <w:spacing w:after="0"/>
            </w:pPr>
            <w:r>
              <w:rPr>
                <w:b w:val="false"/>
                <w:bCs w:val="false"/>
                <w:sz w:val="19"/>
                <w:szCs w:val="19"/>
              </w:rPr>
              <w:t xml:space="preserve">Run a Python statistical analysis of Facilities spend.</w:t>
            </w:r>
          </w:p>
        </w:tc>
        <w:tc>
          <w:tcPr>
            <w:tcW w:type="dxa" w:w="4560"/>
            <w:tcMar>
              <w:top w:type="dxa" w:w="70"/>
              <w:left w:type="dxa" w:w="110"/>
              <w:bottom w:type="dxa" w:w="70"/>
              <w:right w:type="dxa" w:w="110"/>
            </w:tcMar>
          </w:tcPr>
          <w:p>
            <w:pPr>
              <w:spacing w:after="0"/>
            </w:pPr>
            <w:r>
              <w:rPr>
                <w:b w:val="false"/>
                <w:bCs w:val="false"/>
                <w:sz w:val="19"/>
                <w:szCs w:val="19"/>
              </w:rPr>
              <w:t xml:space="preserve">No data available for the Facilities department</w:t>
            </w:r>
          </w:p>
        </w:tc>
        <w:tc>
          <w:tcPr>
            <w:tcW w:type="dxa" w:w="1400"/>
            <w:tcMar>
              <w:top w:type="dxa" w:w="70"/>
              <w:left w:type="dxa" w:w="110"/>
              <w:bottom w:type="dxa" w:w="70"/>
              <w:right w:type="dxa" w:w="110"/>
            </w:tcMar>
          </w:tcPr>
          <w:p>
            <w:pPr>
              <w:spacing w:after="0"/>
            </w:pPr>
            <w:r>
              <w:rPr>
                <w:b w:val="false"/>
                <w:bCs w:val="false"/>
                <w:sz w:val="19"/>
                <w:szCs w:val="19"/>
              </w:rPr>
              <w:t xml:space="preserve">78s</w:t>
            </w:r>
          </w:p>
        </w:tc>
      </w:tr>
    </w:tbl>
    <w:p>
      <w:pPr>
        <w:pBdr>
          <w:top w:val="single" w:color="C87F0A" w:sz="4" w:space="7"/>
          <w:bottom w:val="single" w:color="C87F0A" w:sz="4" w:space="7"/>
          <w:left w:val="single" w:color="C87F0A" w:sz="20" w:space="9"/>
          <w:right w:val="single" w:color="C87F0A" w:sz="4" w:space="7"/>
        </w:pBdr>
        <w:shd w:fill="FDF3E3" w:val="clear"/>
        <w:spacing w:after="180" w:before="120"/>
        <w:ind w:left="170" w:right="170"/>
      </w:pPr>
      <w:r>
        <w:rPr>
          <w:b/>
          <w:bCs/>
          <w:sz w:val="20"/>
          <w:szCs w:val="20"/>
        </w:rPr>
        <w:t xml:space="preserve">CAUTION   </w:t>
      </w:r>
      <w:r>
        <w:rPr>
          <w:sz w:val="20"/>
          <w:szCs w:val="20"/>
        </w:rPr>
        <w:t xml:space="preserve">The Python tool takes 35 to 80 seconds, against 4 to 8 seconds for every other tool. That is the token exchange and the Embedded Python round trip, not the statistics. Budget for it in any live demonstration, and be aware that a question naming a department that does not exist takes longest of all — the work happens before the absence is discovered.</w:t>
      </w:r>
    </w:p>
    <w:p>
      <w:pPr>
        <w:pStyle w:val="Heading2"/>
        <w:spacing w:after="110" w:before="300"/>
      </w:pPr>
      <w:r>
        <w:t xml:space="preserve">10.6 Multi-tool questions</w:t>
      </w:r>
    </w:p>
    <w:p>
      <w:pPr>
        <w:spacing w:after="140"/>
        <w:jc w:val="both"/>
      </w:pPr>
      <w:r>
        <w:rPr>
          <w:sz w:val="21"/>
          <w:szCs w:val="21"/>
        </w:rPr>
        <w:t xml:space="preserve">Questions needing two tools in sequence are where a weak task instruction shows. Results here were mixed, and the mixed result is the honest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5460"/>
      </w:tblGrid>
      <w:tr>
        <w:trPr>
          <w:tblHeader/>
        </w:trPr>
        <w:tc>
          <w:tcPr>
            <w:tcW w:type="dxa" w:w="3900"/>
            <w:shd w:fill="DCE6F1" w:val="clear"/>
            <w:tcMar>
              <w:top w:type="dxa" w:w="70"/>
              <w:left w:type="dxa" w:w="110"/>
              <w:bottom w:type="dxa" w:w="70"/>
              <w:right w:type="dxa" w:w="110"/>
            </w:tcMar>
          </w:tcPr>
          <w:p>
            <w:pPr>
              <w:spacing w:after="0"/>
            </w:pPr>
            <w:r>
              <w:rPr>
                <w:b/>
                <w:bCs/>
                <w:sz w:val="19"/>
                <w:szCs w:val="19"/>
              </w:rPr>
              <w:t xml:space="preserve">Question</w:t>
            </w:r>
          </w:p>
        </w:tc>
        <w:tc>
          <w:tcPr>
            <w:tcW w:type="dxa" w:w="5460"/>
            <w:shd w:fill="DCE6F1" w:val="clear"/>
            <w:tcMar>
              <w:top w:type="dxa" w:w="70"/>
              <w:left w:type="dxa" w:w="110"/>
              <w:bottom w:type="dxa" w:w="70"/>
              <w:right w:type="dxa" w:w="110"/>
            </w:tcMar>
          </w:tcPr>
          <w:p>
            <w:pPr>
              <w:spacing w:after="0"/>
            </w:pPr>
            <w:r>
              <w:rPr>
                <w:b/>
                <w:bCs/>
                <w:sz w:val="19"/>
                <w:szCs w:val="19"/>
              </w:rPr>
              <w:t xml:space="preserve">What happened</w:t>
            </w:r>
          </w:p>
        </w:tc>
      </w:tr>
      <w:tr>
        <w:tc>
          <w:tcPr>
            <w:tcW w:type="dxa" w:w="3900"/>
            <w:tcMar>
              <w:top w:type="dxa" w:w="70"/>
              <w:left w:type="dxa" w:w="110"/>
              <w:bottom w:type="dxa" w:w="70"/>
              <w:right w:type="dxa" w:w="110"/>
            </w:tcMar>
          </w:tcPr>
          <w:p>
            <w:pPr>
              <w:spacing w:after="0"/>
            </w:pPr>
            <w:r>
              <w:rPr>
                <w:b w:val="false"/>
                <w:bCs w:val="false"/>
                <w:sz w:val="19"/>
                <w:szCs w:val="19"/>
              </w:rPr>
              <w:t xml:space="preserve">Engineering is over budget — what does policy say about overspend approval?</w:t>
            </w:r>
          </w:p>
        </w:tc>
        <w:tc>
          <w:tcPr>
            <w:tcW w:type="dxa" w:w="5460"/>
            <w:tcMar>
              <w:top w:type="dxa" w:w="70"/>
              <w:left w:type="dxa" w:w="110"/>
              <w:bottom w:type="dxa" w:w="70"/>
              <w:right w:type="dxa" w:w="110"/>
            </w:tcMar>
          </w:tcPr>
          <w:p>
            <w:pPr>
              <w:spacing w:after="0"/>
            </w:pPr>
            <w:r>
              <w:rPr>
                <w:b w:val="false"/>
                <w:bCs w:val="false"/>
                <w:sz w:val="19"/>
                <w:szCs w:val="19"/>
              </w:rPr>
              <w:t xml:space="preserve">Routed to RAG and returned the $10,000 Level 2 threshold. Correct.</w:t>
            </w:r>
          </w:p>
        </w:tc>
      </w:tr>
      <w:tr>
        <w:tc>
          <w:tcPr>
            <w:tcW w:type="dxa" w:w="3900"/>
            <w:tcMar>
              <w:top w:type="dxa" w:w="70"/>
              <w:left w:type="dxa" w:w="110"/>
              <w:bottom w:type="dxa" w:w="70"/>
              <w:right w:type="dxa" w:w="110"/>
            </w:tcMar>
          </w:tcPr>
          <w:p>
            <w:pPr>
              <w:spacing w:after="0"/>
            </w:pPr>
            <w:r>
              <w:rPr>
                <w:b w:val="false"/>
                <w:bCs w:val="false"/>
                <w:sz w:val="19"/>
                <w:szCs w:val="19"/>
              </w:rPr>
              <w:t xml:space="preserve">Is Engineering spending in AUG-2025 anomalous, and what approval does policy require?</w:t>
            </w:r>
          </w:p>
        </w:tc>
        <w:tc>
          <w:tcPr>
            <w:tcW w:type="dxa" w:w="5460"/>
            <w:tcMar>
              <w:top w:type="dxa" w:w="70"/>
              <w:left w:type="dxa" w:w="110"/>
              <w:bottom w:type="dxa" w:w="70"/>
              <w:right w:type="dxa" w:w="110"/>
            </w:tcMar>
          </w:tcPr>
          <w:p>
            <w:pPr>
              <w:spacing w:after="0"/>
            </w:pPr>
            <w:r>
              <w:rPr>
                <w:b w:val="false"/>
                <w:bCs w:val="false"/>
                <w:sz w:val="19"/>
                <w:szCs w:val="19"/>
              </w:rPr>
              <w:t xml:space="preserve">Partially wrong. Reached the forecast tool rather than the anomaly tool, then answered the policy half correctly.</w:t>
            </w:r>
          </w:p>
        </w:tc>
      </w:tr>
    </w:tbl>
    <w:p>
      <w:pPr>
        <w:spacing w:after="140"/>
        <w:jc w:val="both"/>
      </w:pPr>
      <w:r>
        <w:rPr>
          <w:sz w:val="21"/>
          <w:szCs w:val="21"/>
        </w:rPr>
        <w:t xml:space="preserve">The second is worth reproducing before relying on multi-tool routing. The instruction lists anomaly detection and forecasting in adjacent sentences, and the model chose the wrong one. Where two tools are close in purpose, name the trigger words in the instruction rather than describing the intent.</w:t>
      </w:r>
    </w:p>
    <w:p>
      <w:pPr>
        <w:pStyle w:val="Heading1"/>
        <w:spacing w:after="150" w:before="400"/>
      </w:pPr>
      <w:r>
        <w:t xml:space="preserve">Appendix A — Implementation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4860"/>
      </w:tblGrid>
      <w:tr>
        <w:trPr>
          <w:tblHeader/>
        </w:trPr>
        <w:tc>
          <w:tcPr>
            <w:tcW w:type="dxa" w:w="2700"/>
            <w:shd w:fill="DCE6F1" w:val="clear"/>
            <w:tcMar>
              <w:top w:type="dxa" w:w="70"/>
              <w:left w:type="dxa" w:w="110"/>
              <w:bottom w:type="dxa" w:w="70"/>
              <w:right w:type="dxa" w:w="110"/>
            </w:tcMar>
          </w:tcPr>
          <w:p>
            <w:pPr>
              <w:spacing w:after="0"/>
            </w:pPr>
            <w:r>
              <w:rPr>
                <w:b/>
                <w:bCs/>
                <w:sz w:val="19"/>
                <w:szCs w:val="19"/>
              </w:rPr>
              <w:t xml:space="preserve">Component</w:t>
            </w:r>
          </w:p>
        </w:tc>
        <w:tc>
          <w:tcPr>
            <w:tcW w:type="dxa" w:w="1800"/>
            <w:shd w:fill="DCE6F1" w:val="clear"/>
            <w:tcMar>
              <w:top w:type="dxa" w:w="70"/>
              <w:left w:type="dxa" w:w="110"/>
              <w:bottom w:type="dxa" w:w="70"/>
              <w:right w:type="dxa" w:w="110"/>
            </w:tcMar>
          </w:tcPr>
          <w:p>
            <w:pPr>
              <w:spacing w:after="0"/>
            </w:pPr>
            <w:r>
              <w:rPr>
                <w:b/>
                <w:bCs/>
                <w:sz w:val="19"/>
                <w:szCs w:val="19"/>
              </w:rPr>
              <w:t xml:space="preserve">Status</w:t>
            </w:r>
          </w:p>
        </w:tc>
        <w:tc>
          <w:tcPr>
            <w:tcW w:type="dxa" w:w="4860"/>
            <w:shd w:fill="DCE6F1" w:val="clear"/>
            <w:tcMar>
              <w:top w:type="dxa" w:w="70"/>
              <w:left w:type="dxa" w:w="110"/>
              <w:bottom w:type="dxa" w:w="70"/>
              <w:right w:type="dxa" w:w="110"/>
            </w:tcMar>
          </w:tcPr>
          <w:p>
            <w:pPr>
              <w:spacing w:after="0"/>
            </w:pPr>
            <w:r>
              <w:rPr>
                <w:b/>
                <w:bCs/>
                <w:sz w:val="19"/>
                <w:szCs w:val="19"/>
              </w:rPr>
              <w:t xml:space="preserve">Evidence</w:t>
            </w:r>
          </w:p>
        </w:tc>
      </w:tr>
      <w:tr>
        <w:tc>
          <w:tcPr>
            <w:tcW w:type="dxa" w:w="2700"/>
            <w:tcMar>
              <w:top w:type="dxa" w:w="70"/>
              <w:left w:type="dxa" w:w="110"/>
              <w:bottom w:type="dxa" w:w="70"/>
              <w:right w:type="dxa" w:w="110"/>
            </w:tcMar>
          </w:tcPr>
          <w:p>
            <w:pPr>
              <w:spacing w:after="0"/>
            </w:pPr>
            <w:r>
              <w:rPr>
                <w:b w:val="false"/>
                <w:bCs w:val="false"/>
                <w:sz w:val="19"/>
                <w:szCs w:val="19"/>
              </w:rPr>
              <w:t xml:space="preserve">OCI GenAI Agent (pages 2 and 3)</w:t>
            </w:r>
          </w:p>
        </w:tc>
        <w:tc>
          <w:tcPr>
            <w:tcW w:type="dxa" w:w="1800"/>
            <w:tcMar>
              <w:top w:type="dxa" w:w="70"/>
              <w:left w:type="dxa" w:w="110"/>
              <w:bottom w:type="dxa" w:w="70"/>
              <w:right w:type="dxa" w:w="110"/>
            </w:tcMar>
          </w:tcPr>
          <w:p>
            <w:pPr>
              <w:spacing w:after="0"/>
            </w:pPr>
            <w:r>
              <w:rPr>
                <w:b w:val="false"/>
                <w:bCs w:val="false"/>
                <w:sz w:val="19"/>
                <w:szCs w:val="19"/>
              </w:rPr>
              <w:t xml:space="preserve">Working</w:t>
            </w:r>
          </w:p>
        </w:tc>
        <w:tc>
          <w:tcPr>
            <w:tcW w:type="dxa" w:w="4860"/>
            <w:tcMar>
              <w:top w:type="dxa" w:w="70"/>
              <w:left w:type="dxa" w:w="110"/>
              <w:bottom w:type="dxa" w:w="70"/>
              <w:right w:type="dxa" w:w="110"/>
            </w:tcMar>
          </w:tcPr>
          <w:p>
            <w:pPr>
              <w:spacing w:after="0"/>
            </w:pPr>
            <w:r>
              <w:rPr>
                <w:b w:val="false"/>
                <w:bCs w:val="false"/>
                <w:sz w:val="19"/>
                <w:szCs w:val="19"/>
              </w:rPr>
              <w:t xml:space="preserve">Resource Principal, knowledge base indexed, citations returned</w:t>
            </w:r>
          </w:p>
        </w:tc>
      </w:tr>
      <w:tr>
        <w:tc>
          <w:tcPr>
            <w:tcW w:type="dxa" w:w="2700"/>
            <w:tcMar>
              <w:top w:type="dxa" w:w="70"/>
              <w:left w:type="dxa" w:w="110"/>
              <w:bottom w:type="dxa" w:w="70"/>
              <w:right w:type="dxa" w:w="110"/>
            </w:tcMar>
          </w:tcPr>
          <w:p>
            <w:pPr>
              <w:spacing w:after="0"/>
            </w:pPr>
            <w:r>
              <w:rPr>
                <w:b w:val="false"/>
                <w:bCs w:val="false"/>
                <w:sz w:val="19"/>
                <w:szCs w:val="19"/>
              </w:rPr>
              <w:t xml:space="preserve">Select AI Agent (page 4)</w:t>
            </w:r>
          </w:p>
        </w:tc>
        <w:tc>
          <w:tcPr>
            <w:tcW w:type="dxa" w:w="1800"/>
            <w:tcMar>
              <w:top w:type="dxa" w:w="70"/>
              <w:left w:type="dxa" w:w="110"/>
              <w:bottom w:type="dxa" w:w="70"/>
              <w:right w:type="dxa" w:w="110"/>
            </w:tcMar>
          </w:tcPr>
          <w:p>
            <w:pPr>
              <w:spacing w:after="0"/>
            </w:pPr>
            <w:r>
              <w:rPr>
                <w:b w:val="false"/>
                <w:bCs w:val="false"/>
                <w:sz w:val="19"/>
                <w:szCs w:val="19"/>
              </w:rPr>
              <w:t xml:space="preserve">Working</w:t>
            </w:r>
          </w:p>
        </w:tc>
        <w:tc>
          <w:tcPr>
            <w:tcW w:type="dxa" w:w="4860"/>
            <w:tcMar>
              <w:top w:type="dxa" w:w="70"/>
              <w:left w:type="dxa" w:w="110"/>
              <w:bottom w:type="dxa" w:w="70"/>
              <w:right w:type="dxa" w:w="110"/>
            </w:tcMar>
          </w:tcPr>
          <w:p>
            <w:pPr>
              <w:spacing w:after="0"/>
            </w:pPr>
            <w:r>
              <w:rPr>
                <w:b w:val="false"/>
                <w:bCs w:val="false"/>
                <w:sz w:val="19"/>
                <w:szCs w:val="19"/>
              </w:rPr>
              <w:t xml:space="preserve">Six tools registered and ENABLED, sequential team</w:t>
            </w:r>
          </w:p>
        </w:tc>
      </w:tr>
      <w:tr>
        <w:tc>
          <w:tcPr>
            <w:tcW w:type="dxa" w:w="2700"/>
            <w:tcMar>
              <w:top w:type="dxa" w:w="70"/>
              <w:left w:type="dxa" w:w="110"/>
              <w:bottom w:type="dxa" w:w="70"/>
              <w:right w:type="dxa" w:w="110"/>
            </w:tcMar>
          </w:tcPr>
          <w:p>
            <w:pPr>
              <w:spacing w:after="0"/>
            </w:pPr>
            <w:r>
              <w:rPr>
                <w:b w:val="false"/>
                <w:bCs w:val="false"/>
                <w:sz w:val="19"/>
                <w:szCs w:val="19"/>
              </w:rPr>
              <w:t xml:space="preserve">NL2SQL profile</w:t>
            </w:r>
          </w:p>
        </w:tc>
        <w:tc>
          <w:tcPr>
            <w:tcW w:type="dxa" w:w="1800"/>
            <w:tcMar>
              <w:top w:type="dxa" w:w="70"/>
              <w:left w:type="dxa" w:w="110"/>
              <w:bottom w:type="dxa" w:w="70"/>
              <w:right w:type="dxa" w:w="110"/>
            </w:tcMar>
          </w:tcPr>
          <w:p>
            <w:pPr>
              <w:spacing w:after="0"/>
            </w:pPr>
            <w:r>
              <w:rPr>
                <w:b w:val="false"/>
                <w:bCs w:val="false"/>
                <w:sz w:val="19"/>
                <w:szCs w:val="19"/>
              </w:rPr>
              <w:t xml:space="preserve">Working</w:t>
            </w:r>
          </w:p>
        </w:tc>
        <w:tc>
          <w:tcPr>
            <w:tcW w:type="dxa" w:w="4860"/>
            <w:tcMar>
              <w:top w:type="dxa" w:w="70"/>
              <w:left w:type="dxa" w:w="110"/>
              <w:bottom w:type="dxa" w:w="70"/>
              <w:right w:type="dxa" w:w="110"/>
            </w:tcMar>
          </w:tcPr>
          <w:p>
            <w:pPr>
              <w:spacing w:after="0"/>
            </w:pPr>
            <w:r>
              <w:rPr>
                <w:b w:val="false"/>
                <w:bCs w:val="false"/>
                <w:sz w:val="19"/>
                <w:szCs w:val="19"/>
              </w:rPr>
              <w:t xml:space="preserve">176000 for Engineering AUG-2025, matching direct SQL</w:t>
            </w:r>
          </w:p>
        </w:tc>
      </w:tr>
      <w:tr>
        <w:tc>
          <w:tcPr>
            <w:tcW w:type="dxa" w:w="2700"/>
            <w:tcMar>
              <w:top w:type="dxa" w:w="70"/>
              <w:left w:type="dxa" w:w="110"/>
              <w:bottom w:type="dxa" w:w="70"/>
              <w:right w:type="dxa" w:w="110"/>
            </w:tcMar>
          </w:tcPr>
          <w:p>
            <w:pPr>
              <w:spacing w:after="0"/>
            </w:pPr>
            <w:r>
              <w:rPr>
                <w:b w:val="false"/>
                <w:bCs w:val="false"/>
                <w:sz w:val="19"/>
                <w:szCs w:val="19"/>
              </w:rPr>
              <w:t xml:space="preserve">RAG profile and vector index</w:t>
            </w:r>
          </w:p>
        </w:tc>
        <w:tc>
          <w:tcPr>
            <w:tcW w:type="dxa" w:w="1800"/>
            <w:tcMar>
              <w:top w:type="dxa" w:w="70"/>
              <w:left w:type="dxa" w:w="110"/>
              <w:bottom w:type="dxa" w:w="70"/>
              <w:right w:type="dxa" w:w="110"/>
            </w:tcMar>
          </w:tcPr>
          <w:p>
            <w:pPr>
              <w:spacing w:after="0"/>
            </w:pPr>
            <w:r>
              <w:rPr>
                <w:b w:val="false"/>
                <w:bCs w:val="false"/>
                <w:sz w:val="19"/>
                <w:szCs w:val="19"/>
              </w:rPr>
              <w:t xml:space="preserve">Working</w:t>
            </w:r>
          </w:p>
        </w:tc>
        <w:tc>
          <w:tcPr>
            <w:tcW w:type="dxa" w:w="4860"/>
            <w:tcMar>
              <w:top w:type="dxa" w:w="70"/>
              <w:left w:type="dxa" w:w="110"/>
              <w:bottom w:type="dxa" w:w="70"/>
              <w:right w:type="dxa" w:w="110"/>
            </w:tcMar>
          </w:tcPr>
          <w:p>
            <w:pPr>
              <w:spacing w:after="0"/>
            </w:pPr>
            <w:r>
              <w:rPr>
                <w:b w:val="false"/>
                <w:bCs w:val="false"/>
                <w:sz w:val="19"/>
                <w:szCs w:val="19"/>
              </w:rPr>
              <w:t xml:space="preserve">Policy thresholds and close checklist retrieved verbatim</w:t>
            </w:r>
          </w:p>
        </w:tc>
      </w:tr>
      <w:tr>
        <w:tc>
          <w:tcPr>
            <w:tcW w:type="dxa" w:w="2700"/>
            <w:tcMar>
              <w:top w:type="dxa" w:w="70"/>
              <w:left w:type="dxa" w:w="110"/>
              <w:bottom w:type="dxa" w:w="70"/>
              <w:right w:type="dxa" w:w="110"/>
            </w:tcMar>
          </w:tcPr>
          <w:p>
            <w:pPr>
              <w:spacing w:after="0"/>
            </w:pPr>
            <w:r>
              <w:rPr>
                <w:b w:val="false"/>
                <w:bCs w:val="false"/>
                <w:sz w:val="19"/>
                <w:szCs w:val="19"/>
              </w:rPr>
              <w:t xml:space="preserve">Trend tool</w:t>
            </w:r>
          </w:p>
        </w:tc>
        <w:tc>
          <w:tcPr>
            <w:tcW w:type="dxa" w:w="1800"/>
            <w:tcMar>
              <w:top w:type="dxa" w:w="70"/>
              <w:left w:type="dxa" w:w="110"/>
              <w:bottom w:type="dxa" w:w="70"/>
              <w:right w:type="dxa" w:w="110"/>
            </w:tcMar>
          </w:tcPr>
          <w:p>
            <w:pPr>
              <w:spacing w:after="0"/>
            </w:pPr>
            <w:r>
              <w:rPr>
                <w:b w:val="false"/>
                <w:bCs w:val="false"/>
                <w:sz w:val="19"/>
                <w:szCs w:val="19"/>
              </w:rPr>
              <w:t xml:space="preserve">Working with a caveat</w:t>
            </w:r>
          </w:p>
        </w:tc>
        <w:tc>
          <w:tcPr>
            <w:tcW w:type="dxa" w:w="4860"/>
            <w:tcMar>
              <w:top w:type="dxa" w:w="70"/>
              <w:left w:type="dxa" w:w="110"/>
              <w:bottom w:type="dxa" w:w="70"/>
              <w:right w:type="dxa" w:w="110"/>
            </w:tcMar>
          </w:tcPr>
          <w:p>
            <w:pPr>
              <w:spacing w:after="0"/>
            </w:pPr>
            <w:r>
              <w:rPr>
                <w:b w:val="false"/>
                <w:bCs w:val="false"/>
                <w:sz w:val="19"/>
                <w:szCs w:val="19"/>
              </w:rPr>
              <w:t xml:space="preserve">Figures correct; narration orders periods wrongly</w:t>
            </w:r>
          </w:p>
        </w:tc>
      </w:tr>
      <w:tr>
        <w:tc>
          <w:tcPr>
            <w:tcW w:type="dxa" w:w="2700"/>
            <w:tcMar>
              <w:top w:type="dxa" w:w="70"/>
              <w:left w:type="dxa" w:w="110"/>
              <w:bottom w:type="dxa" w:w="70"/>
              <w:right w:type="dxa" w:w="110"/>
            </w:tcMar>
          </w:tcPr>
          <w:p>
            <w:pPr>
              <w:spacing w:after="0"/>
            </w:pPr>
            <w:r>
              <w:rPr>
                <w:b w:val="false"/>
                <w:bCs w:val="false"/>
                <w:sz w:val="19"/>
                <w:szCs w:val="19"/>
              </w:rPr>
              <w:t xml:space="preserve">Forecast tool</w:t>
            </w:r>
          </w:p>
        </w:tc>
        <w:tc>
          <w:tcPr>
            <w:tcW w:type="dxa" w:w="1800"/>
            <w:tcMar>
              <w:top w:type="dxa" w:w="70"/>
              <w:left w:type="dxa" w:w="110"/>
              <w:bottom w:type="dxa" w:w="70"/>
              <w:right w:type="dxa" w:w="110"/>
            </w:tcMar>
          </w:tcPr>
          <w:p>
            <w:pPr>
              <w:spacing w:after="0"/>
            </w:pPr>
            <w:r>
              <w:rPr>
                <w:b w:val="false"/>
                <w:bCs w:val="false"/>
                <w:sz w:val="19"/>
                <w:szCs w:val="19"/>
              </w:rPr>
              <w:t xml:space="preserve">Working</w:t>
            </w:r>
          </w:p>
        </w:tc>
        <w:tc>
          <w:tcPr>
            <w:tcW w:type="dxa" w:w="4860"/>
            <w:tcMar>
              <w:top w:type="dxa" w:w="70"/>
              <w:left w:type="dxa" w:w="110"/>
              <w:bottom w:type="dxa" w:w="70"/>
              <w:right w:type="dxa" w:w="110"/>
            </w:tcMar>
          </w:tcPr>
          <w:p>
            <w:pPr>
              <w:spacing w:after="0"/>
            </w:pPr>
            <w:r>
              <w:rPr>
                <w:b w:val="false"/>
                <w:bCs w:val="false"/>
                <w:sz w:val="19"/>
                <w:szCs w:val="19"/>
              </w:rPr>
              <w:t xml:space="preserve">Three-period projection returned</w:t>
            </w:r>
          </w:p>
        </w:tc>
      </w:tr>
      <w:tr>
        <w:tc>
          <w:tcPr>
            <w:tcW w:type="dxa" w:w="2700"/>
            <w:tcMar>
              <w:top w:type="dxa" w:w="70"/>
              <w:left w:type="dxa" w:w="110"/>
              <w:bottom w:type="dxa" w:w="70"/>
              <w:right w:type="dxa" w:w="110"/>
            </w:tcMar>
          </w:tcPr>
          <w:p>
            <w:pPr>
              <w:spacing w:after="0"/>
            </w:pPr>
            <w:r>
              <w:rPr>
                <w:b w:val="false"/>
                <w:bCs w:val="false"/>
                <w:sz w:val="19"/>
                <w:szCs w:val="19"/>
              </w:rPr>
              <w:t xml:space="preserve">Anomaly tool</w:t>
            </w:r>
          </w:p>
        </w:tc>
        <w:tc>
          <w:tcPr>
            <w:tcW w:type="dxa" w:w="1800"/>
            <w:tcMar>
              <w:top w:type="dxa" w:w="70"/>
              <w:left w:type="dxa" w:w="110"/>
              <w:bottom w:type="dxa" w:w="70"/>
              <w:right w:type="dxa" w:w="110"/>
            </w:tcMar>
          </w:tcPr>
          <w:p>
            <w:pPr>
              <w:spacing w:after="0"/>
            </w:pPr>
            <w:r>
              <w:rPr>
                <w:b w:val="false"/>
                <w:bCs w:val="false"/>
                <w:sz w:val="19"/>
                <w:szCs w:val="19"/>
              </w:rPr>
              <w:t xml:space="preserve">Working</w:t>
            </w:r>
          </w:p>
        </w:tc>
        <w:tc>
          <w:tcPr>
            <w:tcW w:type="dxa" w:w="4860"/>
            <w:tcMar>
              <w:top w:type="dxa" w:w="70"/>
              <w:left w:type="dxa" w:w="110"/>
              <w:bottom w:type="dxa" w:w="70"/>
              <w:right w:type="dxa" w:w="110"/>
            </w:tcMar>
          </w:tcPr>
          <w:p>
            <w:pPr>
              <w:spacing w:after="0"/>
            </w:pPr>
            <w:r>
              <w:rPr>
                <w:b w:val="false"/>
                <w:bCs w:val="false"/>
                <w:sz w:val="19"/>
                <w:szCs w:val="19"/>
              </w:rPr>
              <w:t xml:space="preserve">Four anomalies at a 30 percent threshold</w:t>
            </w:r>
          </w:p>
        </w:tc>
      </w:tr>
      <w:tr>
        <w:tc>
          <w:tcPr>
            <w:tcW w:type="dxa" w:w="2700"/>
            <w:tcMar>
              <w:top w:type="dxa" w:w="70"/>
              <w:left w:type="dxa" w:w="110"/>
              <w:bottom w:type="dxa" w:w="70"/>
              <w:right w:type="dxa" w:w="110"/>
            </w:tcMar>
          </w:tcPr>
          <w:p>
            <w:pPr>
              <w:spacing w:after="0"/>
            </w:pPr>
            <w:r>
              <w:rPr>
                <w:b w:val="false"/>
                <w:bCs w:val="false"/>
                <w:sz w:val="19"/>
                <w:szCs w:val="19"/>
              </w:rPr>
              <w:t xml:space="preserve">Python tool (OML4Py)</w:t>
            </w:r>
          </w:p>
        </w:tc>
        <w:tc>
          <w:tcPr>
            <w:tcW w:type="dxa" w:w="1800"/>
            <w:tcMar>
              <w:top w:type="dxa" w:w="70"/>
              <w:left w:type="dxa" w:w="110"/>
              <w:bottom w:type="dxa" w:w="70"/>
              <w:right w:type="dxa" w:w="110"/>
            </w:tcMar>
          </w:tcPr>
          <w:p>
            <w:pPr>
              <w:spacing w:after="0"/>
            </w:pPr>
            <w:r>
              <w:rPr>
                <w:b w:val="false"/>
                <w:bCs w:val="false"/>
                <w:sz w:val="19"/>
                <w:szCs w:val="19"/>
              </w:rPr>
              <w:t xml:space="preserve">Working, slow</w:t>
            </w:r>
          </w:p>
        </w:tc>
        <w:tc>
          <w:tcPr>
            <w:tcW w:type="dxa" w:w="4860"/>
            <w:tcMar>
              <w:top w:type="dxa" w:w="70"/>
              <w:left w:type="dxa" w:w="110"/>
              <w:bottom w:type="dxa" w:w="70"/>
              <w:right w:type="dxa" w:w="110"/>
            </w:tcMar>
          </w:tcPr>
          <w:p>
            <w:pPr>
              <w:spacing w:after="0"/>
            </w:pPr>
            <w:r>
              <w:rPr>
                <w:b w:val="false"/>
                <w:bCs w:val="false"/>
                <w:sz w:val="19"/>
                <w:szCs w:val="19"/>
              </w:rPr>
              <w:t xml:space="preserve">numpy statistics returned; 35 to 80 seconds per call</w:t>
            </w:r>
          </w:p>
        </w:tc>
      </w:tr>
      <w:tr>
        <w:tc>
          <w:tcPr>
            <w:tcW w:type="dxa" w:w="2700"/>
            <w:tcMar>
              <w:top w:type="dxa" w:w="70"/>
              <w:left w:type="dxa" w:w="110"/>
              <w:bottom w:type="dxa" w:w="70"/>
              <w:right w:type="dxa" w:w="110"/>
            </w:tcMar>
          </w:tcPr>
          <w:p>
            <w:pPr>
              <w:spacing w:after="0"/>
            </w:pPr>
            <w:r>
              <w:rPr>
                <w:b w:val="false"/>
                <w:bCs w:val="false"/>
                <w:sz w:val="19"/>
                <w:szCs w:val="19"/>
              </w:rPr>
              <w:t xml:space="preserve">Multi-tool routing</w:t>
            </w:r>
          </w:p>
        </w:tc>
        <w:tc>
          <w:tcPr>
            <w:tcW w:type="dxa" w:w="1800"/>
            <w:tcMar>
              <w:top w:type="dxa" w:w="70"/>
              <w:left w:type="dxa" w:w="110"/>
              <w:bottom w:type="dxa" w:w="70"/>
              <w:right w:type="dxa" w:w="110"/>
            </w:tcMar>
          </w:tcPr>
          <w:p>
            <w:pPr>
              <w:spacing w:after="0"/>
            </w:pPr>
            <w:r>
              <w:rPr>
                <w:b w:val="false"/>
                <w:bCs w:val="false"/>
                <w:sz w:val="19"/>
                <w:szCs w:val="19"/>
              </w:rPr>
              <w:t xml:space="preserve">Partial</w:t>
            </w:r>
          </w:p>
        </w:tc>
        <w:tc>
          <w:tcPr>
            <w:tcW w:type="dxa" w:w="4860"/>
            <w:tcMar>
              <w:top w:type="dxa" w:w="70"/>
              <w:left w:type="dxa" w:w="110"/>
              <w:bottom w:type="dxa" w:w="70"/>
              <w:right w:type="dxa" w:w="110"/>
            </w:tcMar>
          </w:tcPr>
          <w:p>
            <w:pPr>
              <w:spacing w:after="0"/>
            </w:pPr>
            <w:r>
              <w:rPr>
                <w:b w:val="false"/>
                <w:bCs w:val="false"/>
                <w:sz w:val="19"/>
                <w:szCs w:val="19"/>
              </w:rPr>
              <w:t xml:space="preserve">One of two sequential questions routed to the wrong first tool</w:t>
            </w:r>
          </w:p>
        </w:tc>
      </w:tr>
      <w:tr>
        <w:tc>
          <w:tcPr>
            <w:tcW w:type="dxa" w:w="2700"/>
            <w:tcMar>
              <w:top w:type="dxa" w:w="70"/>
              <w:left w:type="dxa" w:w="110"/>
              <w:bottom w:type="dxa" w:w="70"/>
              <w:right w:type="dxa" w:w="110"/>
            </w:tcMar>
          </w:tcPr>
          <w:p>
            <w:pPr>
              <w:spacing w:after="0"/>
            </w:pPr>
            <w:r>
              <w:rPr>
                <w:b w:val="false"/>
                <w:bCs w:val="false"/>
                <w:sz w:val="19"/>
                <w:szCs w:val="19"/>
              </w:rPr>
              <w:t xml:space="preserve">DS and DE login split</w:t>
            </w:r>
          </w:p>
        </w:tc>
        <w:tc>
          <w:tcPr>
            <w:tcW w:type="dxa" w:w="1800"/>
            <w:tcMar>
              <w:top w:type="dxa" w:w="70"/>
              <w:left w:type="dxa" w:w="110"/>
              <w:bottom w:type="dxa" w:w="70"/>
              <w:right w:type="dxa" w:w="110"/>
            </w:tcMar>
          </w:tcPr>
          <w:p>
            <w:pPr>
              <w:spacing w:after="0"/>
            </w:pPr>
            <w:r>
              <w:rPr>
                <w:b w:val="false"/>
                <w:bCs w:val="false"/>
                <w:sz w:val="19"/>
                <w:szCs w:val="19"/>
              </w:rPr>
              <w:t xml:space="preserve">In place</w:t>
            </w:r>
          </w:p>
        </w:tc>
        <w:tc>
          <w:tcPr>
            <w:tcW w:type="dxa" w:w="4860"/>
            <w:tcMar>
              <w:top w:type="dxa" w:w="70"/>
              <w:left w:type="dxa" w:w="110"/>
              <w:bottom w:type="dxa" w:w="70"/>
              <w:right w:type="dxa" w:w="110"/>
            </w:tcMar>
          </w:tcPr>
          <w:p>
            <w:pPr>
              <w:spacing w:after="0"/>
            </w:pPr>
            <w:r>
              <w:rPr>
                <w:b w:val="false"/>
                <w:bCs w:val="false"/>
                <w:sz w:val="19"/>
                <w:szCs w:val="19"/>
              </w:rPr>
              <w:t xml:space="preserve">Proxy connect with DEFAULT ROLE ALL</w:t>
            </w:r>
          </w:p>
        </w:tc>
      </w:tr>
    </w:tbl>
    <w:p>
      <w:pPr>
        <w:pStyle w:val="Heading1"/>
        <w:spacing w:after="150" w:before="400"/>
      </w:pPr>
      <w:r>
        <w:t xml:space="preserve">Appendix B — What changed since the April draft</w:t>
      </w:r>
    </w:p>
    <w:p>
      <w:pPr>
        <w:spacing w:after="140"/>
        <w:jc w:val="both"/>
      </w:pPr>
      <w:r>
        <w:rPr>
          <w:sz w:val="21"/>
          <w:szCs w:val="21"/>
        </w:rPr>
        <w:t xml:space="preserve">This document supersedes the April implementation notes. The rows below change what you should actually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100"/>
        <w:gridCol w:w="4360"/>
      </w:tblGrid>
      <w:tr>
        <w:trPr>
          <w:tblHeader/>
        </w:trPr>
        <w:tc>
          <w:tcPr>
            <w:tcW w:type="dxa" w:w="1900"/>
            <w:shd w:fill="DCE6F1" w:val="clear"/>
            <w:tcMar>
              <w:top w:type="dxa" w:w="70"/>
              <w:left w:type="dxa" w:w="110"/>
              <w:bottom w:type="dxa" w:w="70"/>
              <w:right w:type="dxa" w:w="110"/>
            </w:tcMar>
          </w:tcPr>
          <w:p>
            <w:pPr>
              <w:spacing w:after="0"/>
            </w:pPr>
            <w:r>
              <w:rPr>
                <w:b/>
                <w:bCs/>
                <w:sz w:val="19"/>
                <w:szCs w:val="19"/>
              </w:rPr>
              <w:t xml:space="preserve">Area</w:t>
            </w:r>
          </w:p>
        </w:tc>
        <w:tc>
          <w:tcPr>
            <w:tcW w:type="dxa" w:w="3100"/>
            <w:shd w:fill="DCE6F1" w:val="clear"/>
            <w:tcMar>
              <w:top w:type="dxa" w:w="70"/>
              <w:left w:type="dxa" w:w="110"/>
              <w:bottom w:type="dxa" w:w="70"/>
              <w:right w:type="dxa" w:w="110"/>
            </w:tcMar>
          </w:tcPr>
          <w:p>
            <w:pPr>
              <w:spacing w:after="0"/>
            </w:pPr>
            <w:r>
              <w:rPr>
                <w:b/>
                <w:bCs/>
                <w:sz w:val="19"/>
                <w:szCs w:val="19"/>
              </w:rPr>
              <w:t xml:space="preserve">April draft</w:t>
            </w:r>
          </w:p>
        </w:tc>
        <w:tc>
          <w:tcPr>
            <w:tcW w:type="dxa" w:w="4360"/>
            <w:shd w:fill="DCE6F1" w:val="clear"/>
            <w:tcMar>
              <w:top w:type="dxa" w:w="70"/>
              <w:left w:type="dxa" w:w="110"/>
              <w:bottom w:type="dxa" w:w="70"/>
              <w:right w:type="dxa" w:w="110"/>
            </w:tcMar>
          </w:tcPr>
          <w:p>
            <w:pPr>
              <w:spacing w:after="0"/>
            </w:pPr>
            <w:r>
              <w:rPr>
                <w:b/>
                <w:bCs/>
                <w:sz w:val="19"/>
                <w:szCs w:val="19"/>
              </w:rPr>
              <w:t xml:space="preserve">Now</w:t>
            </w:r>
          </w:p>
        </w:tc>
      </w:tr>
      <w:tr>
        <w:tc>
          <w:tcPr>
            <w:tcW w:type="dxa" w:w="1900"/>
            <w:tcMar>
              <w:top w:type="dxa" w:w="70"/>
              <w:left w:type="dxa" w:w="110"/>
              <w:bottom w:type="dxa" w:w="70"/>
              <w:right w:type="dxa" w:w="110"/>
            </w:tcMar>
          </w:tcPr>
          <w:p>
            <w:pPr>
              <w:spacing w:after="0"/>
            </w:pPr>
            <w:r>
              <w:rPr>
                <w:b w:val="false"/>
                <w:bCs w:val="false"/>
                <w:sz w:val="19"/>
                <w:szCs w:val="19"/>
              </w:rPr>
              <w:t xml:space="preserve">region attribute</w:t>
            </w:r>
          </w:p>
        </w:tc>
        <w:tc>
          <w:tcPr>
            <w:tcW w:type="dxa" w:w="3100"/>
            <w:tcMar>
              <w:top w:type="dxa" w:w="70"/>
              <w:left w:type="dxa" w:w="110"/>
              <w:bottom w:type="dxa" w:w="70"/>
              <w:right w:type="dxa" w:w="110"/>
            </w:tcMar>
          </w:tcPr>
          <w:p>
            <w:pPr>
              <w:spacing w:after="0"/>
            </w:pPr>
            <w:r>
              <w:rPr>
                <w:b w:val="false"/>
                <w:bCs w:val="false"/>
                <w:sz w:val="19"/>
                <w:szCs w:val="19"/>
              </w:rPr>
              <w:t xml:space="preserve">Set to the deployment region on both profiles</w:t>
            </w:r>
          </w:p>
        </w:tc>
        <w:tc>
          <w:tcPr>
            <w:tcW w:type="dxa" w:w="4360"/>
            <w:tcMar>
              <w:top w:type="dxa" w:w="70"/>
              <w:left w:type="dxa" w:w="110"/>
              <w:bottom w:type="dxa" w:w="70"/>
              <w:right w:type="dxa" w:w="110"/>
            </w:tcMar>
          </w:tcPr>
          <w:p>
            <w:pPr>
              <w:spacing w:after="0"/>
            </w:pPr>
            <w:r>
              <w:rPr>
                <w:b w:val="false"/>
                <w:bCs w:val="false"/>
                <w:sz w:val="19"/>
                <w:szCs w:val="19"/>
              </w:rPr>
              <w:t xml:space="preserve">Omitted. Setting it to the database's own region breaks every call with ORA-20404</w:t>
            </w:r>
          </w:p>
        </w:tc>
      </w:tr>
      <w:tr>
        <w:tc>
          <w:tcPr>
            <w:tcW w:type="dxa" w:w="1900"/>
            <w:tcMar>
              <w:top w:type="dxa" w:w="70"/>
              <w:left w:type="dxa" w:w="110"/>
              <w:bottom w:type="dxa" w:w="70"/>
              <w:right w:type="dxa" w:w="110"/>
            </w:tcMar>
          </w:tcPr>
          <w:p>
            <w:pPr>
              <w:spacing w:after="0"/>
            </w:pPr>
            <w:r>
              <w:rPr>
                <w:b w:val="false"/>
                <w:bCs w:val="false"/>
                <w:sz w:val="19"/>
                <w:szCs w:val="19"/>
              </w:rPr>
              <w:t xml:space="preserve">OML token refresh</w:t>
            </w:r>
          </w:p>
        </w:tc>
        <w:tc>
          <w:tcPr>
            <w:tcW w:type="dxa" w:w="3100"/>
            <w:tcMar>
              <w:top w:type="dxa" w:w="70"/>
              <w:left w:type="dxa" w:w="110"/>
              <w:bottom w:type="dxa" w:w="70"/>
              <w:right w:type="dxa" w:w="110"/>
            </w:tcMar>
          </w:tcPr>
          <w:p>
            <w:pPr>
              <w:spacing w:after="0"/>
            </w:pPr>
            <w:r>
              <w:rPr>
                <w:rFonts w:ascii="Consolas" w:cs="Consolas" w:eastAsia="Consolas" w:hAnsi="Consolas"/>
                <w:b w:val="false"/>
                <w:bCs w:val="false"/>
                <w:sz w:val="19"/>
                <w:szCs w:val="19"/>
              </w:rPr>
              <w:t xml:space="preserve">DBMS_CLOUD credential re-read on each call</w:t>
            </w:r>
          </w:p>
        </w:tc>
        <w:tc>
          <w:tcPr>
            <w:tcW w:type="dxa" w:w="4360"/>
            <w:tcMar>
              <w:top w:type="dxa" w:w="70"/>
              <w:left w:type="dxa" w:w="110"/>
              <w:bottom w:type="dxa" w:w="70"/>
              <w:right w:type="dxa" w:w="110"/>
            </w:tcMar>
          </w:tcPr>
          <w:p>
            <w:pPr>
              <w:spacing w:after="0"/>
            </w:pPr>
            <w:r>
              <w:rPr>
                <w:b w:val="false"/>
                <w:bCs w:val="false"/>
                <w:sz w:val="19"/>
                <w:szCs w:val="19"/>
              </w:rPr>
              <w:t xml:space="preserve">Vault read via Resource Principal. The credential approach cannot work — a stored password cannot be read back through SQL</w:t>
            </w:r>
          </w:p>
        </w:tc>
      </w:tr>
      <w:tr>
        <w:tc>
          <w:tcPr>
            <w:tcW w:type="dxa" w:w="1900"/>
            <w:tcMar>
              <w:top w:type="dxa" w:w="70"/>
              <w:left w:type="dxa" w:w="110"/>
              <w:bottom w:type="dxa" w:w="70"/>
              <w:right w:type="dxa" w:w="110"/>
            </w:tcMar>
          </w:tcPr>
          <w:p>
            <w:pPr>
              <w:spacing w:after="0"/>
            </w:pPr>
            <w:r>
              <w:rPr>
                <w:rFonts w:ascii="Consolas" w:cs="Consolas" w:eastAsia="Consolas" w:hAnsi="Consolas"/>
                <w:b w:val="false"/>
                <w:bCs w:val="false"/>
                <w:sz w:val="19"/>
                <w:szCs w:val="19"/>
              </w:rPr>
              <w:t xml:space="preserve">RUN_TEAM prompt parameter</w:t>
            </w:r>
          </w:p>
        </w:tc>
        <w:tc>
          <w:tcPr>
            <w:tcW w:type="dxa" w:w="3100"/>
            <w:tcMar>
              <w:top w:type="dxa" w:w="70"/>
              <w:left w:type="dxa" w:w="110"/>
              <w:bottom w:type="dxa" w:w="70"/>
              <w:right w:type="dxa" w:w="110"/>
            </w:tcMar>
          </w:tcPr>
          <w:p>
            <w:pPr>
              <w:spacing w:after="0"/>
            </w:pPr>
            <w:r>
              <w:rPr>
                <w:b w:val="false"/>
                <w:bCs w:val="false"/>
                <w:sz w:val="19"/>
                <w:szCs w:val="19"/>
              </w:rPr>
              <w:t xml:space="preserve">query</w:t>
            </w:r>
          </w:p>
        </w:tc>
        <w:tc>
          <w:tcPr>
            <w:tcW w:type="dxa" w:w="4360"/>
            <w:tcMar>
              <w:top w:type="dxa" w:w="70"/>
              <w:left w:type="dxa" w:w="110"/>
              <w:bottom w:type="dxa" w:w="70"/>
              <w:right w:type="dxa" w:w="110"/>
            </w:tcMar>
          </w:tcPr>
          <w:p>
            <w:pPr>
              <w:spacing w:after="0"/>
            </w:pPr>
            <w:r>
              <w:rPr>
                <w:b w:val="false"/>
                <w:bCs w:val="false"/>
                <w:sz w:val="19"/>
                <w:szCs w:val="19"/>
              </w:rPr>
              <w:t xml:space="preserve">user_prompt. Passing query raises ORA-06550</w:t>
            </w:r>
          </w:p>
        </w:tc>
      </w:tr>
      <w:tr>
        <w:tc>
          <w:tcPr>
            <w:tcW w:type="dxa" w:w="1900"/>
            <w:tcMar>
              <w:top w:type="dxa" w:w="70"/>
              <w:left w:type="dxa" w:w="110"/>
              <w:bottom w:type="dxa" w:w="70"/>
              <w:right w:type="dxa" w:w="110"/>
            </w:tcMar>
          </w:tcPr>
          <w:p>
            <w:pPr>
              <w:spacing w:after="0"/>
            </w:pPr>
            <w:r>
              <w:rPr>
                <w:b w:val="false"/>
                <w:bCs w:val="false"/>
                <w:sz w:val="19"/>
                <w:szCs w:val="19"/>
              </w:rPr>
              <w:t xml:space="preserve">Conversation id</w:t>
            </w:r>
          </w:p>
        </w:tc>
        <w:tc>
          <w:tcPr>
            <w:tcW w:type="dxa" w:w="3100"/>
            <w:tcMar>
              <w:top w:type="dxa" w:w="70"/>
              <w:left w:type="dxa" w:w="110"/>
              <w:bottom w:type="dxa" w:w="70"/>
              <w:right w:type="dxa" w:w="110"/>
            </w:tcMar>
          </w:tcPr>
          <w:p>
            <w:pPr>
              <w:spacing w:after="0"/>
            </w:pPr>
            <w:r>
              <w:rPr>
                <w:rFonts w:ascii="Consolas" w:cs="Consolas" w:eastAsia="Consolas" w:hAnsi="Consolas"/>
                <w:b w:val="false"/>
                <w:bCs w:val="false"/>
                <w:sz w:val="19"/>
                <w:szCs w:val="19"/>
              </w:rPr>
              <w:t xml:space="preserve">SYS_GUID()</w:t>
            </w:r>
          </w:p>
        </w:tc>
        <w:tc>
          <w:tcPr>
            <w:tcW w:type="dxa" w:w="4360"/>
            <w:tcMar>
              <w:top w:type="dxa" w:w="70"/>
              <w:left w:type="dxa" w:w="110"/>
              <w:bottom w:type="dxa" w:w="70"/>
              <w:right w:type="dxa" w:w="110"/>
            </w:tcMar>
          </w:tcPr>
          <w:p>
            <w:pPr>
              <w:spacing w:after="0"/>
            </w:pPr>
            <w:r>
              <w:rPr>
                <w:rFonts w:ascii="Consolas" w:cs="Consolas" w:eastAsia="Consolas" w:hAnsi="Consolas"/>
                <w:b w:val="false"/>
                <w:bCs w:val="false"/>
                <w:sz w:val="19"/>
                <w:szCs w:val="19"/>
              </w:rPr>
              <w:t xml:space="preserve">DBMS_CLOUD_AI.CREATE_CONVERSATION(). SYS_GUID() is rejected with ORA-20050</w:t>
            </w:r>
          </w:p>
        </w:tc>
      </w:tr>
      <w:tr>
        <w:tc>
          <w:tcPr>
            <w:tcW w:type="dxa" w:w="1900"/>
            <w:tcMar>
              <w:top w:type="dxa" w:w="70"/>
              <w:left w:type="dxa" w:w="110"/>
              <w:bottom w:type="dxa" w:w="70"/>
              <w:right w:type="dxa" w:w="110"/>
            </w:tcMar>
          </w:tcPr>
          <w:p>
            <w:pPr>
              <w:spacing w:after="0"/>
            </w:pPr>
            <w:r>
              <w:rPr>
                <w:b w:val="false"/>
                <w:bCs w:val="false"/>
                <w:sz w:val="19"/>
                <w:szCs w:val="19"/>
              </w:rPr>
              <w:t xml:space="preserve">Model</w:t>
            </w:r>
          </w:p>
        </w:tc>
        <w:tc>
          <w:tcPr>
            <w:tcW w:type="dxa" w:w="3100"/>
            <w:tcMar>
              <w:top w:type="dxa" w:w="70"/>
              <w:left w:type="dxa" w:w="110"/>
              <w:bottom w:type="dxa" w:w="70"/>
              <w:right w:type="dxa" w:w="110"/>
            </w:tcMar>
          </w:tcPr>
          <w:p>
            <w:pPr>
              <w:spacing w:after="0"/>
            </w:pPr>
            <w:r>
              <w:rPr>
                <w:b w:val="false"/>
                <w:bCs w:val="false"/>
                <w:sz w:val="19"/>
                <w:szCs w:val="19"/>
              </w:rPr>
              <w:t xml:space="preserve">meta.llama-3.3-70b-instruct</w:t>
            </w:r>
          </w:p>
        </w:tc>
        <w:tc>
          <w:tcPr>
            <w:tcW w:type="dxa" w:w="4360"/>
            <w:tcMar>
              <w:top w:type="dxa" w:w="70"/>
              <w:left w:type="dxa" w:w="110"/>
              <w:bottom w:type="dxa" w:w="70"/>
              <w:right w:type="dxa" w:w="110"/>
            </w:tcMar>
          </w:tcPr>
          <w:p>
            <w:pPr>
              <w:spacing w:after="0"/>
            </w:pPr>
            <w:r>
              <w:rPr>
                <w:b w:val="false"/>
                <w:bCs w:val="false"/>
                <w:sz w:val="19"/>
                <w:szCs w:val="19"/>
              </w:rPr>
              <w:t xml:space="preserve">meta.llama-4-maverick-17b-128e-instruct-fp8</w:t>
            </w:r>
          </w:p>
        </w:tc>
      </w:tr>
      <w:tr>
        <w:tc>
          <w:tcPr>
            <w:tcW w:type="dxa" w:w="1900"/>
            <w:tcMar>
              <w:top w:type="dxa" w:w="70"/>
              <w:left w:type="dxa" w:w="110"/>
              <w:bottom w:type="dxa" w:w="70"/>
              <w:right w:type="dxa" w:w="110"/>
            </w:tcMar>
          </w:tcPr>
          <w:p>
            <w:pPr>
              <w:spacing w:after="0"/>
            </w:pPr>
            <w:r>
              <w:rPr>
                <w:b w:val="false"/>
                <w:bCs w:val="false"/>
                <w:sz w:val="19"/>
                <w:szCs w:val="19"/>
              </w:rPr>
              <w:t xml:space="preserve">Database logins</w:t>
            </w:r>
          </w:p>
        </w:tc>
        <w:tc>
          <w:tcPr>
            <w:tcW w:type="dxa" w:w="3100"/>
            <w:tcMar>
              <w:top w:type="dxa" w:w="70"/>
              <w:left w:type="dxa" w:w="110"/>
              <w:bottom w:type="dxa" w:w="70"/>
              <w:right w:type="dxa" w:w="110"/>
            </w:tcMar>
          </w:tcPr>
          <w:p>
            <w:pPr>
              <w:spacing w:after="0"/>
            </w:pPr>
            <w:r>
              <w:rPr>
                <w:b w:val="false"/>
                <w:bCs w:val="false"/>
                <w:sz w:val="19"/>
                <w:szCs w:val="19"/>
              </w:rPr>
              <w:t xml:space="preserve">Single account</w:t>
            </w:r>
          </w:p>
        </w:tc>
        <w:tc>
          <w:tcPr>
            <w:tcW w:type="dxa" w:w="4360"/>
            <w:tcMar>
              <w:top w:type="dxa" w:w="70"/>
              <w:left w:type="dxa" w:w="110"/>
              <w:bottom w:type="dxa" w:w="70"/>
              <w:right w:type="dxa" w:w="110"/>
            </w:tcMar>
          </w:tcPr>
          <w:p>
            <w:pPr>
              <w:spacing w:after="0"/>
            </w:pPr>
            <w:r>
              <w:rPr>
                <w:b w:val="false"/>
                <w:bCs w:val="false"/>
                <w:sz w:val="19"/>
                <w:szCs w:val="19"/>
              </w:rPr>
              <w:t xml:space="preserve">DS and DE split, proxy connect, DEFAULT ROLE ALL</w:t>
            </w:r>
          </w:p>
        </w:tc>
      </w:tr>
      <w:tr>
        <w:tc>
          <w:tcPr>
            <w:tcW w:type="dxa" w:w="1900"/>
            <w:tcMar>
              <w:top w:type="dxa" w:w="70"/>
              <w:left w:type="dxa" w:w="110"/>
              <w:bottom w:type="dxa" w:w="70"/>
              <w:right w:type="dxa" w:w="110"/>
            </w:tcMar>
          </w:tcPr>
          <w:p>
            <w:pPr>
              <w:spacing w:after="0"/>
            </w:pPr>
            <w:r>
              <w:rPr>
                <w:b w:val="false"/>
                <w:bCs w:val="false"/>
                <w:sz w:val="19"/>
                <w:szCs w:val="19"/>
              </w:rPr>
              <w:t xml:space="preserve">Orphan AGENT$ profile</w:t>
            </w:r>
          </w:p>
        </w:tc>
        <w:tc>
          <w:tcPr>
            <w:tcW w:type="dxa" w:w="3100"/>
            <w:tcMar>
              <w:top w:type="dxa" w:w="70"/>
              <w:left w:type="dxa" w:w="110"/>
              <w:bottom w:type="dxa" w:w="70"/>
              <w:right w:type="dxa" w:w="110"/>
            </w:tcMar>
          </w:tcPr>
          <w:p>
            <w:pPr>
              <w:spacing w:after="0"/>
            </w:pPr>
            <w:r>
              <w:rPr>
                <w:b w:val="false"/>
                <w:bCs w:val="false"/>
                <w:sz w:val="19"/>
                <w:szCs w:val="19"/>
              </w:rPr>
              <w:t xml:space="preserve">Listed as a known issue</w:t>
            </w:r>
          </w:p>
        </w:tc>
        <w:tc>
          <w:tcPr>
            <w:tcW w:type="dxa" w:w="4360"/>
            <w:tcMar>
              <w:top w:type="dxa" w:w="70"/>
              <w:left w:type="dxa" w:w="110"/>
              <w:bottom w:type="dxa" w:w="70"/>
              <w:right w:type="dxa" w:w="110"/>
            </w:tcMar>
          </w:tcPr>
          <w:p>
            <w:pPr>
              <w:spacing w:after="0"/>
            </w:pPr>
            <w:r>
              <w:rPr>
                <w:b w:val="false"/>
                <w:bCs w:val="false"/>
                <w:sz w:val="19"/>
                <w:szCs w:val="19"/>
              </w:rPr>
              <w:t xml:space="preserve">Removed — the object does not exist on 23.26.3.2.0</w:t>
            </w:r>
          </w:p>
        </w:tc>
      </w:tr>
      <w:tr>
        <w:tc>
          <w:tcPr>
            <w:tcW w:type="dxa" w:w="1900"/>
            <w:tcMar>
              <w:top w:type="dxa" w:w="70"/>
              <w:left w:type="dxa" w:w="110"/>
              <w:bottom w:type="dxa" w:w="70"/>
              <w:right w:type="dxa" w:w="110"/>
            </w:tcMar>
          </w:tcPr>
          <w:p>
            <w:pPr>
              <w:spacing w:after="0"/>
            </w:pPr>
            <w:r>
              <w:rPr>
                <w:b w:val="false"/>
                <w:bCs w:val="false"/>
                <w:sz w:val="19"/>
                <w:szCs w:val="19"/>
              </w:rPr>
              <w:t xml:space="preserve">Changing an attribute</w:t>
            </w:r>
          </w:p>
        </w:tc>
        <w:tc>
          <w:tcPr>
            <w:tcW w:type="dxa" w:w="3100"/>
            <w:tcMar>
              <w:top w:type="dxa" w:w="70"/>
              <w:left w:type="dxa" w:w="110"/>
              <w:bottom w:type="dxa" w:w="70"/>
              <w:right w:type="dxa" w:w="110"/>
            </w:tcMar>
          </w:tcPr>
          <w:p>
            <w:pPr>
              <w:spacing w:after="0"/>
            </w:pPr>
            <w:r>
              <w:rPr>
                <w:b w:val="false"/>
                <w:bCs w:val="false"/>
                <w:sz w:val="19"/>
                <w:szCs w:val="19"/>
              </w:rPr>
              <w:t xml:space="preserve">Implied drop-and-recreate</w:t>
            </w:r>
          </w:p>
        </w:tc>
        <w:tc>
          <w:tcPr>
            <w:tcW w:type="dxa" w:w="4360"/>
            <w:tcMar>
              <w:top w:type="dxa" w:w="70"/>
              <w:left w:type="dxa" w:w="110"/>
              <w:bottom w:type="dxa" w:w="70"/>
              <w:right w:type="dxa" w:w="110"/>
            </w:tcMar>
          </w:tcPr>
          <w:p>
            <w:pPr>
              <w:spacing w:after="0"/>
            </w:pPr>
            <w:r>
              <w:rPr>
                <w:rFonts w:ascii="Consolas" w:cs="Consolas" w:eastAsia="Consolas" w:hAnsi="Consolas"/>
                <w:b w:val="false"/>
                <w:bCs w:val="false"/>
                <w:sz w:val="19"/>
                <w:szCs w:val="19"/>
              </w:rPr>
              <w:t xml:space="preserve">SET_ATTRIBUTE exists in both packages</w:t>
            </w:r>
          </w:p>
        </w:tc>
      </w:tr>
      <w:tr>
        <w:tc>
          <w:tcPr>
            <w:tcW w:type="dxa" w:w="1900"/>
            <w:tcMar>
              <w:top w:type="dxa" w:w="70"/>
              <w:left w:type="dxa" w:w="110"/>
              <w:bottom w:type="dxa" w:w="70"/>
              <w:right w:type="dxa" w:w="110"/>
            </w:tcMar>
          </w:tcPr>
          <w:p>
            <w:pPr>
              <w:spacing w:after="0"/>
            </w:pPr>
            <w:r>
              <w:rPr>
                <w:b w:val="false"/>
                <w:bCs w:val="false"/>
                <w:sz w:val="19"/>
                <w:szCs w:val="19"/>
              </w:rPr>
              <w:t xml:space="preserve">Vector index verification</w:t>
            </w:r>
          </w:p>
        </w:tc>
        <w:tc>
          <w:tcPr>
            <w:tcW w:type="dxa" w:w="3100"/>
            <w:tcMar>
              <w:top w:type="dxa" w:w="70"/>
              <w:left w:type="dxa" w:w="110"/>
              <w:bottom w:type="dxa" w:w="70"/>
              <w:right w:type="dxa" w:w="110"/>
            </w:tcMar>
          </w:tcPr>
          <w:p>
            <w:pPr>
              <w:spacing w:after="0"/>
            </w:pPr>
            <w:r>
              <w:rPr>
                <w:b w:val="false"/>
                <w:bCs w:val="false"/>
                <w:sz w:val="19"/>
                <w:szCs w:val="19"/>
              </w:rPr>
              <w:t xml:space="preserve">Row count</w:t>
            </w:r>
          </w:p>
        </w:tc>
        <w:tc>
          <w:tcPr>
            <w:tcW w:type="dxa" w:w="4360"/>
            <w:tcMar>
              <w:top w:type="dxa" w:w="70"/>
              <w:left w:type="dxa" w:w="110"/>
              <w:bottom w:type="dxa" w:w="70"/>
              <w:right w:type="dxa" w:w="110"/>
            </w:tcMar>
          </w:tcPr>
          <w:p>
            <w:pPr>
              <w:spacing w:after="0"/>
            </w:pPr>
            <w:r>
              <w:rPr>
                <w:b w:val="false"/>
                <w:bCs w:val="false"/>
                <w:sz w:val="19"/>
                <w:szCs w:val="19"/>
              </w:rPr>
              <w:t xml:space="preserve">Content length per document — an image-only PDF still produces a row</w:t>
            </w:r>
          </w:p>
        </w:tc>
      </w:tr>
      <w:tr>
        <w:tc>
          <w:tcPr>
            <w:tcW w:type="dxa" w:w="1900"/>
            <w:tcMar>
              <w:top w:type="dxa" w:w="70"/>
              <w:left w:type="dxa" w:w="110"/>
              <w:bottom w:type="dxa" w:w="70"/>
              <w:right w:type="dxa" w:w="110"/>
            </w:tcMar>
          </w:tcPr>
          <w:p>
            <w:pPr>
              <w:spacing w:after="0"/>
            </w:pPr>
            <w:r>
              <w:rPr>
                <w:b w:val="false"/>
                <w:bCs w:val="false"/>
                <w:sz w:val="19"/>
                <w:szCs w:val="19"/>
              </w:rPr>
              <w:t xml:space="preserve">max_tokens</w:t>
            </w:r>
          </w:p>
        </w:tc>
        <w:tc>
          <w:tcPr>
            <w:tcW w:type="dxa" w:w="3100"/>
            <w:tcMar>
              <w:top w:type="dxa" w:w="70"/>
              <w:left w:type="dxa" w:w="110"/>
              <w:bottom w:type="dxa" w:w="70"/>
              <w:right w:type="dxa" w:w="110"/>
            </w:tcMar>
          </w:tcPr>
          <w:p>
            <w:pPr>
              <w:spacing w:after="0"/>
            </w:pPr>
            <w:r>
              <w:rPr>
                <w:b w:val="false"/>
                <w:bCs w:val="false"/>
                <w:sz w:val="19"/>
                <w:szCs w:val="19"/>
              </w:rPr>
              <w:t xml:space="preserve">Raise it from the 1024 default</w:t>
            </w:r>
          </w:p>
        </w:tc>
        <w:tc>
          <w:tcPr>
            <w:tcW w:type="dxa" w:w="4360"/>
            <w:tcMar>
              <w:top w:type="dxa" w:w="70"/>
              <w:left w:type="dxa" w:w="110"/>
              <w:bottom w:type="dxa" w:w="70"/>
              <w:right w:type="dxa" w:w="110"/>
            </w:tcMar>
          </w:tcPr>
          <w:p>
            <w:pPr>
              <w:spacing w:after="0"/>
            </w:pPr>
            <w:r>
              <w:rPr>
                <w:b w:val="false"/>
                <w:bCs w:val="false"/>
                <w:sz w:val="19"/>
                <w:szCs w:val="19"/>
              </w:rPr>
              <w:t xml:space="preserve">Measured: there is no 1024 default. Leave unset unless answers truncate</w:t>
            </w:r>
          </w:p>
        </w:tc>
      </w:tr>
      <w:tr>
        <w:tc>
          <w:tcPr>
            <w:tcW w:type="dxa" w:w="1900"/>
            <w:tcMar>
              <w:top w:type="dxa" w:w="70"/>
              <w:left w:type="dxa" w:w="110"/>
              <w:bottom w:type="dxa" w:w="70"/>
              <w:right w:type="dxa" w:w="110"/>
            </w:tcMar>
          </w:tcPr>
          <w:p>
            <w:pPr>
              <w:spacing w:after="0"/>
            </w:pPr>
            <w:r>
              <w:rPr>
                <w:b w:val="false"/>
                <w:bCs w:val="false"/>
                <w:sz w:val="19"/>
                <w:szCs w:val="19"/>
              </w:rPr>
              <w:t xml:space="preserve">Sample questions</w:t>
            </w:r>
          </w:p>
        </w:tc>
        <w:tc>
          <w:tcPr>
            <w:tcW w:type="dxa" w:w="3100"/>
            <w:tcMar>
              <w:top w:type="dxa" w:w="70"/>
              <w:left w:type="dxa" w:w="110"/>
              <w:bottom w:type="dxa" w:w="70"/>
              <w:right w:type="dxa" w:w="110"/>
            </w:tcMar>
          </w:tcPr>
          <w:p>
            <w:pPr>
              <w:spacing w:after="0"/>
            </w:pPr>
            <w:r>
              <w:rPr>
                <w:b w:val="false"/>
                <w:bCs w:val="false"/>
                <w:sz w:val="19"/>
                <w:szCs w:val="19"/>
              </w:rPr>
              <w:t xml:space="preserve">Expected answers written from intent</w:t>
            </w:r>
          </w:p>
        </w:tc>
        <w:tc>
          <w:tcPr>
            <w:tcW w:type="dxa" w:w="4360"/>
            <w:tcMar>
              <w:top w:type="dxa" w:w="70"/>
              <w:left w:type="dxa" w:w="110"/>
              <w:bottom w:type="dxa" w:w="70"/>
              <w:right w:type="dxa" w:w="110"/>
            </w:tcMar>
          </w:tcPr>
          <w:p>
            <w:pPr>
              <w:spacing w:after="0"/>
            </w:pPr>
            <w:r>
              <w:rPr>
                <w:b w:val="false"/>
                <w:bCs w:val="false"/>
                <w:sz w:val="19"/>
                <w:szCs w:val="19"/>
              </w:rPr>
              <w:t xml:space="preserve">Every question run against the deployed agent; answers recorded verbatim, including the failures</w:t>
            </w:r>
          </w:p>
        </w:tc>
      </w:tr>
    </w:tbl>
    <w:p>
      <w:pPr>
        <w:pBdr>
          <w:top w:val="single" w:color="3F7D46" w:sz="4" w:space="7"/>
          <w:bottom w:val="single" w:color="3F7D46" w:sz="4" w:space="7"/>
          <w:left w:val="single" w:color="3F7D46" w:sz="20" w:space="9"/>
          <w:right w:val="single" w:color="3F7D46" w:sz="4" w:space="7"/>
        </w:pBdr>
        <w:shd w:fill="EBF3EC" w:val="clear"/>
        <w:spacing w:after="180" w:before="120"/>
        <w:ind w:left="170" w:right="170"/>
      </w:pPr>
      <w:r>
        <w:rPr>
          <w:b/>
          <w:bCs/>
          <w:sz w:val="20"/>
          <w:szCs w:val="20"/>
        </w:rPr>
        <w:t xml:space="preserve">VERIFIED   </w:t>
      </w:r>
      <w:r>
        <w:rPr>
          <w:sz w:val="20"/>
          <w:szCs w:val="20"/>
        </w:rPr>
        <w:t xml:space="preserve">Every row above was tested against a live database rather than inferred. Where a result contradicted the April draft, the April draft was wrong — including four sample questions whose expected answers could never have been produced, because they named departments the ledger does not contain.</w:t>
      </w:r>
    </w:p>
    <w:sectPr>
      <w:headerReference w:type="default" r:id="rId7"/>
      <w:footerReference w:type="default" r:id="rId8"/>
      <w:pgSz w:w="12240" w:h="15840" w:orient="portrait"/>
      <w:pgMar w:top="118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D1E5" w:sz="4" w:space="5"/>
      </w:pBdr>
      <w:jc w:val="right"/>
    </w:pPr>
    <w:r>
      <w:rPr>
        <w:color w:val="808080"/>
        <w:sz w:val="17"/>
        <w:szCs w:val="17"/>
      </w:rPr>
      <w:t xml:space="preserve">ACME Corp — AI Chat Integration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BFD1E5" w:sz="6" w:space="6"/>
      </w:pBdr>
      <w:spacing w:after="150" w:before="400"/>
    </w:pPr>
    <w:rPr>
      <w:rFonts w:ascii="Calibri" w:cs="Calibri" w:eastAsia="Calibri" w:hAnsi="Calibri"/>
      <w:b/>
      <w:bCs/>
      <w:color w:val="1F4E79"/>
      <w:sz w:val="32"/>
      <w:szCs w:val="32"/>
    </w:rPr>
  </w:style>
  <w:style w:type="paragraph" w:styleId="Heading2">
    <w:name w:val="Heading 2"/>
    <w:basedOn w:val="Normal"/>
    <w:next w:val="Normal"/>
    <w:qFormat/>
    <w:rPr>
      <w:rFonts w:ascii="Calibri" w:cs="Calibri" w:eastAsia="Calibri" w:hAnsi="Calibri"/>
      <w:b/>
      <w:bCs/>
      <w:color w:val="2E5F8A"/>
      <w:sz w:val="26"/>
      <w:szCs w:val="26"/>
    </w:rPr>
  </w:style>
  <w:style w:type="paragraph" w:styleId="Heading3">
    <w:name w:val="Heading 3"/>
    <w:basedOn w:val="Normal"/>
    <w:next w:val="Normal"/>
    <w:qFormat/>
    <w:rPr>
      <w:rFonts w:ascii="Calibri" w:cs="Calibri" w:eastAsia="Calibri" w:hAnsi="Calibri"/>
      <w:b/>
      <w:bCs/>
      <w:color w:val="40404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ACME Corp AI Chat Integration — Technical Implementation Guide</dc:title>
  <dc:creator>ACME Corp</dc:creator>
  <dc:description>Reference implementation guide for OCI Generative AI Agent and Select AI Agent on Oracle APEX.</dc:description>
  <cp:lastModifiedBy>ACME Corp</cp:lastModifiedBy>
  <cp:revision>1</cp:revision>
  <dcterms:created xsi:type="dcterms:W3CDTF">2026-09-07T03:35:17.896Z</dcterms:created>
  <dcterms:modified xsi:type="dcterms:W3CDTF">2026-09-07T03:35:17.897Z</dcterms:modified>
</cp:coreProperties>
</file>

<file path=docProps/custom.xml><?xml version="1.0" encoding="utf-8"?>
<Properties xmlns="http://schemas.openxmlformats.org/officeDocument/2006/custom-properties" xmlns:vt="http://schemas.openxmlformats.org/officeDocument/2006/docPropsVTypes"/>
</file>