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E-Commerce 100K Analysis</w:t>
      </w:r>
    </w:p>
    <w:p>
      <w:pPr>
        <w:pStyle w:val="Heading2"/>
        <w:jc w:val="center"/>
      </w:pPr>
      <w:r>
        <w:t xml:space="preserve">Business Insights &amp; Recommendations</w:t>
      </w:r>
    </w:p>
    <w:p>
      <w:pPr>
        <w:spacing w:after="120"/>
      </w:pPr>
      <w:r>
        <w:rPr>
          <w:i/>
          <w:iCs/>
        </w:rPr>
        <w:t xml:space="preserve">18 insights derived from the SQL, Python and statistical analysis, grouped by theme. Each pairs a data-backed finding with a specific, actionable recommendation.</w:t>
      </w:r>
    </w:p>
    <w:p>
      <w:pPr>
        <w:pStyle w:val="Heading1"/>
        <w:spacing w:after="120" w:before="260"/>
      </w:pPr>
      <w:r>
        <w:t xml:space="preserve">A. Revenue &amp; Growth</w:t>
      </w:r>
    </w:p>
    <w:p>
      <w:pPr>
        <w:spacing w:after="80" w:before="220"/>
      </w:pPr>
      <w:r>
        <w:rPr>
          <w:b/>
          <w:bCs/>
          <w:color w:val="2E5077"/>
          <w:sz w:val="23"/>
          <w:szCs w:val="23"/>
        </w:rPr>
        <w:t xml:space="preserve">Insight 1: </w:t>
      </w:r>
      <w:r>
        <w:rPr>
          <w:b/>
          <w:bCs/>
          <w:sz w:val="23"/>
          <w:szCs w:val="23"/>
        </w:rPr>
        <w:t xml:space="preserve">Revenue is flat, not growing, over 30 months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Finding: </w:t>
      </w:r>
      <w:r>
        <w:rPr>
          <w:sz w:val="20"/>
          <w:szCs w:val="20"/>
        </w:rPr>
        <w:t xml:space="preserve">Monthly revenue has stayed in a narrow Rs.46M-Rs.53M band from Jan 2024 through Jun 2026 with no sustained upward trend - total 30-month revenue is Rs.1.51B at an average of ~Rs.50.4M/month.</w:t>
      </w:r>
    </w:p>
    <w:p>
      <w:pPr>
        <w:spacing w:after="160"/>
      </w:pPr>
      <w:r>
        <w:rPr>
          <w:b/>
          <w:bCs/>
          <w:color w:val="1F6F43"/>
          <w:sz w:val="20"/>
          <w:szCs w:val="20"/>
        </w:rPr>
        <w:t xml:space="preserve">Recommendation: </w:t>
      </w:r>
      <w:r>
        <w:rPr>
          <w:sz w:val="20"/>
          <w:szCs w:val="20"/>
        </w:rPr>
        <w:t xml:space="preserve">Growth needs a new lever (new categories, geographic expansion, or a loyalty push toward Champions - see Insight 7) rather than 'more of the same,' since the current base is plateaued.</w:t>
      </w:r>
    </w:p>
    <w:p>
      <w:pPr>
        <w:spacing w:after="80" w:before="220"/>
      </w:pPr>
      <w:r>
        <w:rPr>
          <w:b/>
          <w:bCs/>
          <w:color w:val="2E5077"/>
          <w:sz w:val="23"/>
          <w:szCs w:val="23"/>
        </w:rPr>
        <w:t xml:space="preserve">Insight 2: </w:t>
      </w:r>
      <w:r>
        <w:rPr>
          <w:b/>
          <w:bCs/>
          <w:sz w:val="23"/>
          <w:szCs w:val="23"/>
        </w:rPr>
        <w:t xml:space="preserve">No category, segment, or city meaningfully out-earns another</w:t>
      </w:r>
    </w:p>
    <w:p>
      <w:pPr>
        <w:spacing w:after="60"/>
      </w:pPr>
      <w:r>
        <w:rPr>
          <w:b/>
          <w:bCs/>
          <w:sz w:val="20"/>
          <w:szCs w:val="20"/>
        </w:rPr>
        <w:t xml:space="preserve">Finding: </w:t>
      </w:r>
      <w:r>
        <w:rPr>
          <w:sz w:val="20"/>
          <w:szCs w:val="20"/>
        </w:rPr>
        <w:t xml:space="preserve">One-way ANOVA found no statistically significant difference in average order value across product category (p=0.41) or customer segment (p=0.41); revenue by city varies by less than 5% across all 10 cities.</w:t>
      </w:r>
    </w:p>
    <w:p>
      <w:pPr>
        <w:spacing w:after="160"/>
      </w:pPr>
      <w:r>
        <w:rPr>
          <w:b/>
          <w:bCs/>
          <w:color w:val="1F6F43"/>
          <w:sz w:val="20"/>
          <w:szCs w:val="20"/>
        </w:rPr>
        <w:t xml:space="preserve">Recommendation: </w:t>
      </w:r>
      <w:r>
        <w:rPr>
          <w:sz w:val="20"/>
          <w:szCs w:val="20"/>
        </w:rPr>
        <w:t xml:space="preserve">Stop over-indexing marketing spend on any single category or 'high-value' segment label - the current New/Returning/VIP tagging does not predict spend. Redirect budget to the RFM-based segmentation in Insight 7, which does show real concentration.</w:t>
      </w:r>
    </w:p>
    <w:p>
      <w:pPr>
        <w:spacing w:after="80" w:before="220"/>
      </w:pPr>
      <w:r>
        <w:rPr>
          <w:b/>
          <w:bCs/>
          <w:color w:val="2E5077"/>
          <w:sz w:val="23"/>
          <w:szCs w:val="23"/>
        </w:rPr>
        <w:t xml:space="preserve">Insight 3: </w:t>
      </w:r>
      <w:r>
        <w:rPr>
          <w:b/>
          <w:bCs/>
          <w:sz w:val="23"/>
          <w:szCs w:val="23"/>
        </w:rPr>
        <w:t xml:space="preserve">Average order value sits at Rs.15,127 with a tight confidence interval</w:t>
      </w:r>
    </w:p>
    <w:p>
      <w:pPr>
        <w:spacing w:after="60"/>
      </w:pPr>
      <w:r>
        <w:rPr>
          <w:b/>
          <w:bCs/>
          <w:sz w:val="20"/>
          <w:szCs w:val="20"/>
        </w:rPr>
        <w:t xml:space="preserve">Finding: </w:t>
      </w:r>
      <w:r>
        <w:rPr>
          <w:sz w:val="20"/>
          <w:szCs w:val="20"/>
        </w:rPr>
        <w:t xml:space="preserve">95% CI for mean order value is Rs.15,054 - Rs.15,201, meaning this figure is very stable and not being pulled around by a few outliers.</w:t>
      </w:r>
    </w:p>
    <w:p>
      <w:pPr>
        <w:spacing w:after="160"/>
      </w:pPr>
      <w:r>
        <w:rPr>
          <w:b/>
          <w:bCs/>
          <w:color w:val="1F6F43"/>
          <w:sz w:val="20"/>
          <w:szCs w:val="20"/>
        </w:rPr>
        <w:t xml:space="preserve">Recommendation: </w:t>
      </w:r>
      <w:r>
        <w:rPr>
          <w:sz w:val="20"/>
          <w:szCs w:val="20"/>
        </w:rPr>
        <w:t xml:space="preserve">Rs.15,127 is a reliable baseline for setting free-shipping thresholds, minimum-cart promotions, or upsell targets (e.g., 'add Rs.X to reach the next tier').</w:t>
      </w:r>
    </w:p>
    <w:p>
      <w:pPr>
        <w:pStyle w:val="Heading1"/>
        <w:spacing w:after="120" w:before="260"/>
      </w:pPr>
      <w:r>
        <w:t xml:space="preserve">B. Order Fulfilment &amp; Operations</w:t>
      </w:r>
    </w:p>
    <w:p>
      <w:pPr>
        <w:spacing w:after="80" w:before="220"/>
      </w:pPr>
      <w:r>
        <w:rPr>
          <w:b/>
          <w:bCs/>
          <w:color w:val="2E5077"/>
          <w:sz w:val="23"/>
          <w:szCs w:val="23"/>
        </w:rPr>
        <w:t xml:space="preserve">Insight 4: </w:t>
      </w:r>
      <w:r>
        <w:rPr>
          <w:b/>
          <w:bCs/>
          <w:sz w:val="23"/>
          <w:szCs w:val="23"/>
        </w:rPr>
        <w:t xml:space="preserve">1 in 3 orders never completes successfully</w:t>
      </w:r>
    </w:p>
    <w:p>
      <w:pPr>
        <w:spacing w:after="60"/>
      </w:pPr>
      <w:r>
        <w:rPr>
          <w:b/>
          <w:bCs/>
          <w:sz w:val="20"/>
          <w:szCs w:val="20"/>
        </w:rPr>
        <w:t xml:space="preserve">Finding: </w:t>
      </w:r>
      <w:r>
        <w:rPr>
          <w:sz w:val="20"/>
          <w:szCs w:val="20"/>
        </w:rPr>
        <w:t xml:space="preserve">Only 50.0% of orders reach Delivered status; 16.5% are Cancelled and 16.6% are Returned - a combined 33.1% failure rate, well above typical e-commerce benchmarks (often single digits to low teens).</w:t>
      </w:r>
    </w:p>
    <w:p>
      <w:pPr>
        <w:spacing w:after="160"/>
      </w:pPr>
      <w:r>
        <w:rPr>
          <w:b/>
          <w:bCs/>
          <w:color w:val="1F6F43"/>
          <w:sz w:val="20"/>
          <w:szCs w:val="20"/>
        </w:rPr>
        <w:t xml:space="preserve">Recommendation: </w:t>
      </w:r>
      <w:r>
        <w:rPr>
          <w:sz w:val="20"/>
          <w:szCs w:val="20"/>
        </w:rPr>
        <w:t xml:space="preserve">Treat this as an operational priority, not a marketing one - investigate checkout/payment friction (cancellations) and post-delivery experience (returns) as the two separate root causes they likely are.</w:t>
      </w:r>
    </w:p>
    <w:p>
      <w:pPr>
        <w:spacing w:after="80" w:before="220"/>
      </w:pPr>
      <w:r>
        <w:rPr>
          <w:b/>
          <w:bCs/>
          <w:color w:val="2E5077"/>
          <w:sz w:val="23"/>
          <w:szCs w:val="23"/>
        </w:rPr>
        <w:t xml:space="preserve">Insight 5: </w:t>
      </w:r>
      <w:r>
        <w:rPr>
          <w:b/>
          <w:bCs/>
          <w:sz w:val="23"/>
          <w:szCs w:val="23"/>
        </w:rPr>
        <w:t xml:space="preserve">The failure rate is uniform - it isn't one category or one payment method's fault</w:t>
      </w:r>
    </w:p>
    <w:p>
      <w:pPr>
        <w:spacing w:after="60"/>
      </w:pPr>
      <w:r>
        <w:rPr>
          <w:b/>
          <w:bCs/>
          <w:sz w:val="20"/>
          <w:szCs w:val="20"/>
        </w:rPr>
        <w:t xml:space="preserve">Finding: </w:t>
      </w:r>
      <w:r>
        <w:rPr>
          <w:sz w:val="20"/>
          <w:szCs w:val="20"/>
        </w:rPr>
        <w:t xml:space="preserve">Chi-square tests found no significant association between order outcome and either category (p=0.29) or payment method (p=0.98) - cancel/return rates sit in a tight 16-17% band everywhere.</w:t>
      </w:r>
    </w:p>
    <w:p>
      <w:pPr>
        <w:spacing w:after="160"/>
      </w:pPr>
      <w:r>
        <w:rPr>
          <w:b/>
          <w:bCs/>
          <w:color w:val="1F6F43"/>
          <w:sz w:val="20"/>
          <w:szCs w:val="20"/>
        </w:rPr>
        <w:t xml:space="preserve">Recommendation: </w:t>
      </w:r>
      <w:r>
        <w:rPr>
          <w:sz w:val="20"/>
          <w:szCs w:val="20"/>
        </w:rPr>
        <w:t xml:space="preserve">A category-specific or payment-specific fix will not move the needle. Look at systemic causes instead: delivery partner reliability, COD friction at the door, or a returns policy that's simply too generous/easy to trigger across the board.</w:t>
      </w:r>
    </w:p>
    <w:p>
      <w:pPr>
        <w:spacing w:after="80" w:before="220"/>
      </w:pPr>
      <w:r>
        <w:rPr>
          <w:b/>
          <w:bCs/>
          <w:color w:val="2E5077"/>
          <w:sz w:val="23"/>
          <w:szCs w:val="23"/>
        </w:rPr>
        <w:t xml:space="preserve">Insight 6: </w:t>
      </w:r>
      <w:r>
        <w:rPr>
          <w:b/>
          <w:bCs/>
          <w:sz w:val="23"/>
          <w:szCs w:val="23"/>
        </w:rPr>
        <w:t xml:space="preserve">928 orders (0.9%) are statistical outliers by value, worth Rs. ~38M combined</w:t>
      </w:r>
    </w:p>
    <w:p>
      <w:pPr>
        <w:spacing w:after="60"/>
      </w:pPr>
      <w:r>
        <w:rPr>
          <w:b/>
          <w:bCs/>
          <w:sz w:val="20"/>
          <w:szCs w:val="20"/>
        </w:rPr>
        <w:t xml:space="preserve">Finding: </w:t>
      </w:r>
      <w:r>
        <w:rPr>
          <w:sz w:val="20"/>
          <w:szCs w:val="20"/>
        </w:rPr>
        <w:t xml:space="preserve">Using the 1.5xIQR rule, 928 orders fall outside the normal Rs.-19,579 to Rs.47,618 range - these are legitimate bulk/high-value transactions, not errors.</w:t>
      </w:r>
    </w:p>
    <w:p>
      <w:pPr>
        <w:spacing w:after="160"/>
      </w:pPr>
      <w:r>
        <w:rPr>
          <w:b/>
          <w:bCs/>
          <w:color w:val="1F6F43"/>
          <w:sz w:val="20"/>
          <w:szCs w:val="20"/>
        </w:rPr>
        <w:t xml:space="preserve">Recommendation: </w:t>
      </w:r>
      <w:r>
        <w:rPr>
          <w:sz w:val="20"/>
          <w:szCs w:val="20"/>
        </w:rPr>
        <w:t xml:space="preserve">Route these to a separate 'large order' handling flow (fraud check, dedicated support) rather than lumping them into standard-order SLAs.</w:t>
      </w:r>
    </w:p>
    <w:p>
      <w:pPr>
        <w:pStyle w:val="Heading1"/>
        <w:spacing w:after="120" w:before="260"/>
      </w:pPr>
      <w:r>
        <w:t xml:space="preserve">C. Customers</w:t>
      </w:r>
    </w:p>
    <w:p>
      <w:pPr>
        <w:spacing w:after="80" w:before="220"/>
      </w:pPr>
      <w:r>
        <w:rPr>
          <w:b/>
          <w:bCs/>
          <w:color w:val="2E5077"/>
          <w:sz w:val="23"/>
          <w:szCs w:val="23"/>
        </w:rPr>
        <w:t xml:space="preserve">Insight 7: </w:t>
      </w:r>
      <w:r>
        <w:rPr>
          <w:b/>
          <w:bCs/>
          <w:sz w:val="23"/>
          <w:szCs w:val="23"/>
        </w:rPr>
        <w:t xml:space="preserve">27% of customers generate 46% of all revenue - the real VIP list</w:t>
      </w:r>
    </w:p>
    <w:p>
      <w:pPr>
        <w:spacing w:after="60"/>
      </w:pPr>
      <w:r>
        <w:rPr>
          <w:b/>
          <w:bCs/>
          <w:sz w:val="20"/>
          <w:szCs w:val="20"/>
        </w:rPr>
        <w:t xml:space="preserve">Finding: </w:t>
      </w:r>
      <w:r>
        <w:rPr>
          <w:sz w:val="20"/>
          <w:szCs w:val="20"/>
        </w:rPr>
        <w:t xml:space="preserve">RFM segmentation identifies 6,726 'Champion' customers (27.4% of active buyers) contributing Rs.693.9M (45.9% of total revenue), while the bottom 'Lost' segment (2,192 customers, 8.9%) contributes just 2.3%.</w:t>
      </w:r>
    </w:p>
    <w:p>
      <w:pPr>
        <w:spacing w:after="160"/>
      </w:pPr>
      <w:r>
        <w:rPr>
          <w:b/>
          <w:bCs/>
          <w:color w:val="1F6F43"/>
          <w:sz w:val="20"/>
          <w:szCs w:val="20"/>
        </w:rPr>
        <w:t xml:space="preserve">Recommendation: </w:t>
      </w:r>
      <w:r>
        <w:rPr>
          <w:sz w:val="20"/>
          <w:szCs w:val="20"/>
        </w:rPr>
        <w:t xml:space="preserve">Build the loyalty/retention program around this RFM segmentation, not the CustomerSegment field in the source data (Insight 2 shows that field doesn't correlate with spend). Prioritize Champions for retention and Loyal/Potential for upsell.</w:t>
      </w:r>
    </w:p>
    <w:p>
      <w:pPr>
        <w:spacing w:after="80" w:before="220"/>
      </w:pPr>
      <w:r>
        <w:rPr>
          <w:b/>
          <w:bCs/>
          <w:color w:val="2E5077"/>
          <w:sz w:val="23"/>
          <w:szCs w:val="23"/>
        </w:rPr>
        <w:t xml:space="preserve">Insight 8: </w:t>
      </w:r>
      <w:r>
        <w:rPr>
          <w:b/>
          <w:bCs/>
          <w:sz w:val="23"/>
          <w:szCs w:val="23"/>
        </w:rPr>
        <w:t xml:space="preserve">Retention is actually strong once someone buys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Finding: </w:t>
      </w:r>
      <w:r>
        <w:rPr>
          <w:sz w:val="20"/>
          <w:szCs w:val="20"/>
        </w:rPr>
        <w:t xml:space="preserve">92.5% of customers who ever ordered placed more than one order; only 7.5% were true one-time buyers, and repeat customers average 4.1 orders each.</w:t>
      </w:r>
    </w:p>
    <w:p>
      <w:pPr>
        <w:spacing w:after="160"/>
      </w:pPr>
      <w:r>
        <w:rPr>
          <w:b/>
          <w:bCs/>
          <w:color w:val="1F6F43"/>
          <w:sz w:val="20"/>
          <w:szCs w:val="20"/>
        </w:rPr>
        <w:t xml:space="preserve">Recommendation: </w:t>
      </w:r>
      <w:r>
        <w:rPr>
          <w:sz w:val="20"/>
          <w:szCs w:val="20"/>
        </w:rPr>
        <w:t xml:space="preserve">The growth problem (Insight 1) is more about acquisition and reactivation than about retention - the base is loyal once acquired, so acquisition spend and win-back campaigns for the 'At Risk'/'Lost' RFM segments deserve investment.</w:t>
      </w:r>
    </w:p>
    <w:p>
      <w:pPr>
        <w:spacing w:after="80" w:before="220"/>
      </w:pPr>
      <w:r>
        <w:rPr>
          <w:b/>
          <w:bCs/>
          <w:color w:val="2E5077"/>
          <w:sz w:val="23"/>
          <w:szCs w:val="23"/>
        </w:rPr>
        <w:t xml:space="preserve">Insight 9: </w:t>
      </w:r>
      <w:r>
        <w:rPr>
          <w:b/>
          <w:bCs/>
          <w:sz w:val="23"/>
          <w:szCs w:val="23"/>
        </w:rPr>
        <w:t xml:space="preserve">466 registered customers (1.9%) have never placed a single order</w:t>
      </w:r>
    </w:p>
    <w:p>
      <w:pPr>
        <w:spacing w:after="60"/>
      </w:pPr>
      <w:r>
        <w:rPr>
          <w:b/>
          <w:bCs/>
          <w:sz w:val="20"/>
          <w:szCs w:val="20"/>
        </w:rPr>
        <w:t xml:space="preserve">Finding: </w:t>
      </w:r>
      <w:r>
        <w:rPr>
          <w:sz w:val="20"/>
          <w:szCs w:val="20"/>
        </w:rPr>
        <w:t xml:space="preserve">Nearly 2% of the customer base signed up but shows zero order history.</w:t>
      </w:r>
    </w:p>
    <w:p>
      <w:pPr>
        <w:spacing w:after="160"/>
      </w:pPr>
      <w:r>
        <w:rPr>
          <w:b/>
          <w:bCs/>
          <w:color w:val="1F6F43"/>
          <w:sz w:val="20"/>
          <w:szCs w:val="20"/>
        </w:rPr>
        <w:t xml:space="preserve">Recommendation: </w:t>
      </w:r>
      <w:r>
        <w:rPr>
          <w:sz w:val="20"/>
          <w:szCs w:val="20"/>
        </w:rPr>
        <w:t xml:space="preserve">A small, cheap win: target this list with a first-purchase incentive (small discount, free shipping) - converting even 20% would add ~90 new active customers at low acquisition cost since they're already registered.</w:t>
      </w:r>
    </w:p>
    <w:p>
      <w:pPr>
        <w:spacing w:after="80" w:before="220"/>
      </w:pPr>
      <w:r>
        <w:rPr>
          <w:b/>
          <w:bCs/>
          <w:color w:val="2E5077"/>
          <w:sz w:val="23"/>
          <w:szCs w:val="23"/>
        </w:rPr>
        <w:t xml:space="preserve">Insight 10: </w:t>
      </w:r>
      <w:r>
        <w:rPr>
          <w:b/>
          <w:bCs/>
          <w:sz w:val="23"/>
          <w:szCs w:val="23"/>
        </w:rPr>
        <w:t xml:space="preserve">Top single customer has generated Rs. 286,415 across 14 orders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Finding: </w:t>
      </w:r>
      <w:r>
        <w:rPr>
          <w:sz w:val="20"/>
          <w:szCs w:val="20"/>
        </w:rPr>
        <w:t xml:space="preserve">The top 10 customers by lifetime value each exceed Rs.259,000 in cumulative spend, well above the Rs.61,659 average per active customer found in RFM analysis.</w:t>
      </w:r>
    </w:p>
    <w:p>
      <w:pPr>
        <w:spacing w:after="160"/>
      </w:pPr>
      <w:r>
        <w:rPr>
          <w:b/>
          <w:bCs/>
          <w:color w:val="1F6F43"/>
          <w:sz w:val="20"/>
          <w:szCs w:val="20"/>
        </w:rPr>
        <w:t xml:space="preserve">Recommendation: </w:t>
      </w:r>
      <w:r>
        <w:rPr>
          <w:sz w:val="20"/>
          <w:szCs w:val="20"/>
        </w:rPr>
        <w:t xml:space="preserve">Consider a dedicated key-account or white-glove program for the top 50-100 customers by lifetime value - the concentration in Insight 7 suggests a small group is disproportionately valuable.</w:t>
      </w:r>
    </w:p>
    <w:p>
      <w:pPr>
        <w:pStyle w:val="Heading1"/>
        <w:spacing w:after="120" w:before="260"/>
      </w:pPr>
      <w:r>
        <w:t xml:space="preserve">D. Products</w:t>
      </w:r>
    </w:p>
    <w:p>
      <w:pPr>
        <w:spacing w:after="80" w:before="220"/>
      </w:pPr>
      <w:r>
        <w:rPr>
          <w:b/>
          <w:bCs/>
          <w:color w:val="2E5077"/>
          <w:sz w:val="23"/>
          <w:szCs w:val="23"/>
        </w:rPr>
        <w:t xml:space="preserve">Insight 11: </w:t>
      </w:r>
      <w:r>
        <w:rPr>
          <w:b/>
          <w:bCs/>
          <w:sz w:val="23"/>
          <w:szCs w:val="23"/>
        </w:rPr>
        <w:t xml:space="preserve">The best-selling SKU (SKU-231, Grocery/Nova) generated Rs.1.30M from just 62 orders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Finding: </w:t>
      </w:r>
      <w:r>
        <w:rPr>
          <w:sz w:val="20"/>
          <w:szCs w:val="20"/>
        </w:rPr>
        <w:t xml:space="preserve">Top-10 products by revenue span Grocery, Clothing, Home Appliances, Furniture and Electronics - no single category dominates the top sellers list, consistent with Insight 2.</w:t>
      </w:r>
    </w:p>
    <w:p>
      <w:pPr>
        <w:spacing w:after="160"/>
      </w:pPr>
      <w:r>
        <w:rPr>
          <w:b/>
          <w:bCs/>
          <w:color w:val="1F6F43"/>
          <w:sz w:val="20"/>
          <w:szCs w:val="20"/>
        </w:rPr>
        <w:t xml:space="preserve">Recommendation: </w:t>
      </w:r>
      <w:r>
        <w:rPr>
          <w:sz w:val="20"/>
          <w:szCs w:val="20"/>
        </w:rPr>
        <w:t xml:space="preserve">Feature these 10 SKUs prominently in homepage merchandising and bundle promotions - they've proven demand across categories, not just within one.</w:t>
      </w:r>
    </w:p>
    <w:p>
      <w:pPr>
        <w:spacing w:after="80" w:before="220"/>
      </w:pPr>
      <w:r>
        <w:rPr>
          <w:b/>
          <w:bCs/>
          <w:color w:val="2E5077"/>
          <w:sz w:val="23"/>
          <w:szCs w:val="23"/>
        </w:rPr>
        <w:t xml:space="preserve">Insight 12: </w:t>
      </w:r>
      <w:r>
        <w:rPr>
          <w:b/>
          <w:bCs/>
          <w:sz w:val="23"/>
          <w:szCs w:val="23"/>
        </w:rPr>
        <w:t xml:space="preserve">The 5 lowest-revenue products earned under Rs.400K each over the full 30 months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Finding: </w:t>
      </w:r>
      <w:r>
        <w:rPr>
          <w:sz w:val="20"/>
          <w:szCs w:val="20"/>
        </w:rPr>
        <w:t xml:space="preserve">Bottom performers (e.g., SKU-1457, Home Appliances/Nova) sold fewer than 80 units total across the entire period.</w:t>
      </w:r>
    </w:p>
    <w:p>
      <w:pPr>
        <w:spacing w:after="160"/>
      </w:pPr>
      <w:r>
        <w:rPr>
          <w:b/>
          <w:bCs/>
          <w:color w:val="1F6F43"/>
          <w:sz w:val="20"/>
          <w:szCs w:val="20"/>
        </w:rPr>
        <w:t xml:space="preserve">Recommendation: </w:t>
      </w:r>
      <w:r>
        <w:rPr>
          <w:sz w:val="20"/>
          <w:szCs w:val="20"/>
        </w:rPr>
        <w:t xml:space="preserve">Review these SKUs for delisting, repricing, or a merchandising push before the next inventory cycle - they're tying up catalog space and likely warehouse space for minimal return.</w:t>
      </w:r>
    </w:p>
    <w:p>
      <w:pPr>
        <w:spacing w:after="80" w:before="220"/>
      </w:pPr>
      <w:r>
        <w:rPr>
          <w:b/>
          <w:bCs/>
          <w:color w:val="2E5077"/>
          <w:sz w:val="23"/>
          <w:szCs w:val="23"/>
        </w:rPr>
        <w:t xml:space="preserve">Insight 13: </w:t>
      </w:r>
      <w:r>
        <w:rPr>
          <w:b/>
          <w:bCs/>
          <w:sz w:val="23"/>
          <w:szCs w:val="23"/>
        </w:rPr>
        <w:t xml:space="preserve">Brand performance is nearly identical across all 5 brands (Rs.290M-Rs.312M each)</w:t>
      </w:r>
    </w:p>
    <w:p>
      <w:pPr>
        <w:spacing w:after="60"/>
      </w:pPr>
      <w:r>
        <w:rPr>
          <w:b/>
          <w:bCs/>
          <w:sz w:val="20"/>
          <w:szCs w:val="20"/>
        </w:rPr>
        <w:t xml:space="preserve">Finding: </w:t>
      </w:r>
      <w:r>
        <w:rPr>
          <w:sz w:val="20"/>
          <w:szCs w:val="20"/>
        </w:rPr>
        <w:t xml:space="preserve">Elite leads brand revenue at Rs.312.1M; Softq trails at Rs.290.7M - a gap of under 7%, similar to the category-level pattern.</w:t>
      </w:r>
    </w:p>
    <w:p>
      <w:pPr>
        <w:spacing w:after="160"/>
      </w:pPr>
      <w:r>
        <w:rPr>
          <w:b/>
          <w:bCs/>
          <w:color w:val="1F6F43"/>
          <w:sz w:val="20"/>
          <w:szCs w:val="20"/>
        </w:rPr>
        <w:t xml:space="preserve">Recommendation: </w:t>
      </w:r>
      <w:r>
        <w:rPr>
          <w:sz w:val="20"/>
          <w:szCs w:val="20"/>
        </w:rPr>
        <w:t xml:space="preserve">Brand is not currently a differentiator for the business - don't build a brand-exclusive campaign expecting outsized returns; the underlying products/categories matter more than the brand label.</w:t>
      </w:r>
    </w:p>
    <w:p>
      <w:pPr>
        <w:spacing w:after="80" w:before="220"/>
      </w:pPr>
      <w:r>
        <w:rPr>
          <w:b/>
          <w:bCs/>
          <w:color w:val="2E5077"/>
          <w:sz w:val="23"/>
          <w:szCs w:val="23"/>
        </w:rPr>
        <w:t xml:space="preserve">Insight 14: </w:t>
      </w:r>
      <w:r>
        <w:rPr>
          <w:b/>
          <w:bCs/>
          <w:sz w:val="23"/>
          <w:szCs w:val="23"/>
        </w:rPr>
        <w:t xml:space="preserve">Price does not drive customer satisfaction</w:t>
      </w:r>
    </w:p>
    <w:p>
      <w:pPr>
        <w:spacing w:after="60"/>
      </w:pPr>
      <w:r>
        <w:rPr>
          <w:b/>
          <w:bCs/>
          <w:sz w:val="20"/>
          <w:szCs w:val="20"/>
        </w:rPr>
        <w:t xml:space="preserve">Finding: </w:t>
      </w:r>
      <w:r>
        <w:rPr>
          <w:sz w:val="20"/>
          <w:szCs w:val="20"/>
        </w:rPr>
        <w:t xml:space="preserve">Pearson correlation between unit price and rating (on delivered orders) is essentially zero (r=0.008, p=0.09, not significant).</w:t>
      </w:r>
    </w:p>
    <w:p>
      <w:pPr>
        <w:spacing w:after="160"/>
      </w:pPr>
      <w:r>
        <w:rPr>
          <w:b/>
          <w:bCs/>
          <w:color w:val="1F6F43"/>
          <w:sz w:val="20"/>
          <w:szCs w:val="20"/>
        </w:rPr>
        <w:t xml:space="preserve">Recommendation: </w:t>
      </w:r>
      <w:r>
        <w:rPr>
          <w:sz w:val="20"/>
          <w:szCs w:val="20"/>
        </w:rPr>
        <w:t xml:space="preserve">Premium pricing strategies won't hurt satisfaction scores, and cheap products aren't rated better - price and perceived quality can be managed independently in this catalog.</w:t>
      </w:r>
    </w:p>
    <w:p>
      <w:pPr>
        <w:pStyle w:val="Heading1"/>
        <w:spacing w:after="120" w:before="260"/>
      </w:pPr>
      <w:r>
        <w:t xml:space="preserve">E. Data &amp; Reporting Hygiene</w:t>
      </w:r>
    </w:p>
    <w:p>
      <w:pPr>
        <w:spacing w:after="80" w:before="220"/>
      </w:pPr>
      <w:r>
        <w:rPr>
          <w:b/>
          <w:bCs/>
          <w:color w:val="2E5077"/>
          <w:sz w:val="23"/>
          <w:szCs w:val="23"/>
        </w:rPr>
        <w:t xml:space="preserve">Insight 15: </w:t>
      </w:r>
      <w:r>
        <w:rPr>
          <w:b/>
          <w:bCs/>
          <w:sz w:val="23"/>
          <w:szCs w:val="23"/>
        </w:rPr>
        <w:t xml:space="preserve">Recorded order value doesn't reconcile with Quantity x Unit Price for 99.99% of orders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Finding: </w:t>
      </w:r>
      <w:r>
        <w:rPr>
          <w:sz w:val="20"/>
          <w:szCs w:val="20"/>
        </w:rPr>
        <w:t xml:space="preserve">Only 9 of 100,000 orders match the computed value exactly; the average gap is -Rs.7,377, and gaps run as high as +/-Rs.73,300 - most likely reflecting discounts, historical pricing, or taxes not captured elsewhere in the current schema.</w:t>
      </w:r>
    </w:p>
    <w:p>
      <w:pPr>
        <w:spacing w:after="160"/>
      </w:pPr>
      <w:r>
        <w:rPr>
          <w:b/>
          <w:bCs/>
          <w:color w:val="1F6F43"/>
          <w:sz w:val="20"/>
          <w:szCs w:val="20"/>
        </w:rPr>
        <w:t xml:space="preserve">Recommendation: </w:t>
      </w:r>
      <w:r>
        <w:rPr>
          <w:sz w:val="20"/>
          <w:szCs w:val="20"/>
        </w:rPr>
        <w:t xml:space="preserve">Before this data feeds financial reporting, confirm with the data owner what OrderValue actually represents. Until then, treat it as recorded revenue, not a value that should always equal Qty x current UnitPrice.</w:t>
      </w:r>
    </w:p>
    <w:p>
      <w:pPr>
        <w:spacing w:after="80" w:before="220"/>
      </w:pPr>
      <w:r>
        <w:rPr>
          <w:b/>
          <w:bCs/>
          <w:color w:val="2E5077"/>
          <w:sz w:val="23"/>
          <w:szCs w:val="23"/>
        </w:rPr>
        <w:t xml:space="preserve">Insight 16: </w:t>
      </w:r>
      <w:r>
        <w:rPr>
          <w:b/>
          <w:bCs/>
          <w:sz w:val="23"/>
          <w:szCs w:val="23"/>
        </w:rPr>
        <w:t xml:space="preserve">Half of all order ratings sit on orders that were never delivered</w:t>
      </w:r>
    </w:p>
    <w:p>
      <w:pPr>
        <w:spacing w:after="60"/>
      </w:pPr>
      <w:r>
        <w:rPr>
          <w:b/>
          <w:bCs/>
          <w:sz w:val="20"/>
          <w:szCs w:val="20"/>
        </w:rPr>
        <w:t xml:space="preserve">Finding: </w:t>
      </w:r>
      <w:r>
        <w:rPr>
          <w:sz w:val="20"/>
          <w:szCs w:val="20"/>
        </w:rPr>
        <w:t xml:space="preserve">49,984 of 100,000 orders carry a 1-5 rating despite being Shipped, Returned or Cancelled - and the average rating (~3.0) is statistically the same regardless of status, suggesting these ratings aren't reflecting a genuine delivery experience.</w:t>
      </w:r>
    </w:p>
    <w:p>
      <w:pPr>
        <w:spacing w:after="160"/>
      </w:pPr>
      <w:r>
        <w:rPr>
          <w:b/>
          <w:bCs/>
          <w:color w:val="1F6F43"/>
          <w:sz w:val="20"/>
          <w:szCs w:val="20"/>
        </w:rPr>
        <w:t xml:space="preserve">Recommendation: </w:t>
      </w:r>
      <w:r>
        <w:rPr>
          <w:sz w:val="20"/>
          <w:szCs w:val="20"/>
        </w:rPr>
        <w:t xml:space="preserve">Any customer-satisfaction KPI reported to leadership should filter to Delivered orders only (as done throughout this analysis) - reporting the blended average overstates confidence in a number that includes orders nobody actually received.</w:t>
      </w:r>
    </w:p>
    <w:p>
      <w:pPr>
        <w:spacing w:after="80" w:before="220"/>
      </w:pPr>
      <w:r>
        <w:rPr>
          <w:b/>
          <w:bCs/>
          <w:color w:val="2E5077"/>
          <w:sz w:val="23"/>
          <w:szCs w:val="23"/>
        </w:rPr>
        <w:t xml:space="preserve">Insight 17: </w:t>
      </w:r>
      <w:r>
        <w:rPr>
          <w:b/>
          <w:bCs/>
          <w:sz w:val="23"/>
          <w:szCs w:val="23"/>
        </w:rPr>
        <w:t xml:space="preserve">The most recent month of data is incomplete, not a demand crash</w:t>
      </w:r>
    </w:p>
    <w:p>
      <w:pPr>
        <w:spacing w:after="60"/>
      </w:pPr>
      <w:r>
        <w:rPr>
          <w:b/>
          <w:bCs/>
          <w:sz w:val="20"/>
          <w:szCs w:val="20"/>
        </w:rPr>
        <w:t xml:space="preserve">Finding: </w:t>
      </w:r>
      <w:r>
        <w:rPr>
          <w:sz w:val="20"/>
          <w:szCs w:val="20"/>
        </w:rPr>
        <w:t xml:space="preserve">Jul 2026 shows only 112 orders vs. a ~3,300/month average - because the extract captured just 1 day of that month.</w:t>
      </w:r>
    </w:p>
    <w:p>
      <w:pPr>
        <w:spacing w:after="160"/>
      </w:pPr>
      <w:r>
        <w:rPr>
          <w:b/>
          <w:bCs/>
          <w:color w:val="1F6F43"/>
          <w:sz w:val="20"/>
          <w:szCs w:val="20"/>
        </w:rPr>
        <w:t xml:space="preserve">Recommendation: </w:t>
      </w:r>
      <w:r>
        <w:rPr>
          <w:sz w:val="20"/>
          <w:szCs w:val="20"/>
        </w:rPr>
        <w:t xml:space="preserve">Exclude partial periods from any 'latest month' KPI card or trend chart in the dashboard, or the business will see a false crash and react to it.</w:t>
      </w:r>
    </w:p>
    <w:p>
      <w:pPr>
        <w:spacing w:after="80" w:before="220"/>
      </w:pPr>
      <w:r>
        <w:rPr>
          <w:b/>
          <w:bCs/>
          <w:color w:val="2E5077"/>
          <w:sz w:val="23"/>
          <w:szCs w:val="23"/>
        </w:rPr>
        <w:t xml:space="preserve">Insight 18: </w:t>
      </w:r>
      <w:r>
        <w:rPr>
          <w:b/>
          <w:bCs/>
          <w:sz w:val="23"/>
          <w:szCs w:val="23"/>
        </w:rPr>
        <w:t xml:space="preserve">The dataset's built-in CustomerSegment (New/Returning/VIP) is not predictive of anything measured here</w:t>
      </w:r>
    </w:p>
    <w:p>
      <w:pPr>
        <w:spacing w:after="60"/>
      </w:pPr>
      <w:r>
        <w:rPr>
          <w:b/>
          <w:bCs/>
          <w:sz w:val="20"/>
          <w:szCs w:val="20"/>
        </w:rPr>
        <w:t xml:space="preserve">Finding: </w:t>
      </w:r>
      <w:r>
        <w:rPr>
          <w:sz w:val="20"/>
          <w:szCs w:val="20"/>
        </w:rPr>
        <w:t xml:space="preserve">Segment shows no significant relationship with order value (Insight 2), and the return/cancel rate is flat across segments as well.</w:t>
      </w:r>
    </w:p>
    <w:p>
      <w:pPr>
        <w:spacing w:after="160"/>
      </w:pPr>
      <w:r>
        <w:rPr>
          <w:b/>
          <w:bCs/>
          <w:color w:val="1F6F43"/>
          <w:sz w:val="20"/>
          <w:szCs w:val="20"/>
        </w:rPr>
        <w:t xml:space="preserve">Recommendation: </w:t>
      </w:r>
      <w:r>
        <w:rPr>
          <w:sz w:val="20"/>
          <w:szCs w:val="20"/>
        </w:rPr>
        <w:t xml:space="preserve">If this field is used operationally today (e.g., to prioritize VIP support), validate that its underlying business definition is actually working as intended - on this data, it isn't distinguishing customer value.</w:t>
      </w:r>
    </w:p>
    <w:p>
      <w:pPr>
        <w:spacing w:after="120"/>
      </w:pPr>
      <w:r>
        <w:t xml:space="preserve"/>
      </w:r>
    </w:p>
    <w:p>
      <w:pPr>
        <w:pStyle w:val="Heading1"/>
        <w:spacing w:after="120" w:before="260"/>
      </w:pPr>
      <w:r>
        <w:t xml:space="preserve">Summary for the Client Presentation</w:t>
      </w:r>
    </w:p>
    <w:p>
      <w:pPr>
        <w:spacing w:after="120"/>
      </w:pPr>
      <w:r>
        <w:t xml:space="preserve">The headline story: revenue is stable but flat, the customer base is genuinely loyal once it converts, and the biggest opportunities are operational (cut the 33% order-failure rate) and targeting-related (reallocate retention spend to the RFM Champions/Loyal segments instead of the native segment tags). None of the category/brand/payment-method splits in the raw data turned out to be statistically meaningful - the real signal is in customer behavior (RFM) and order outcomes (fulfilment), not in how the catalog is sliced.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2026-09-07T08:30:13.500Z</dcterms:created>
  <dcterms:modified xsi:type="dcterms:W3CDTF">2026-09-07T08:30:13.500Z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