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E-Commerce 100K Dataset</w:t>
      </w:r>
    </w:p>
    <w:p>
      <w:pPr>
        <w:pStyle w:val="Heading2"/>
        <w:jc w:val="center"/>
      </w:pPr>
      <w:r>
        <w:t xml:space="preserve">Data Quality Assessment &amp; Cleaning Report</w:t>
      </w:r>
    </w:p>
    <w:p>
      <w:pPr>
        <w:spacing w:after="120"/>
      </w:pPr>
      <w:r>
        <w:t xml:space="preserve"/>
      </w:r>
    </w:p>
    <w:p>
      <w:pPr>
        <w:spacing w:after="120"/>
      </w:pPr>
      <w:r>
        <w:rPr>
          <w:i/>
          <w:iCs/>
        </w:rPr>
        <w:t xml:space="preserve">Prepared for: Capstone E-Commerce Analytics Project</w:t>
      </w:r>
    </w:p>
    <w:p>
      <w:pPr>
        <w:spacing w:after="120"/>
      </w:pPr>
      <w:r>
        <w:rPr>
          <w:i/>
          <w:iCs/>
        </w:rPr>
        <w:t xml:space="preserve">Scope: Customers (25,000) · Products (2,000) · Orders (100,000)</w:t>
      </w:r>
    </w:p>
    <w:p>
      <w:pPr>
        <w:spacing w:after="120"/>
      </w:pPr>
      <w:r>
        <w:t xml:space="preserve"/>
      </w:r>
    </w:p>
    <w:p>
      <w:pPr>
        <w:pStyle w:val="Heading1"/>
        <w:spacing w:after="120" w:before="240"/>
      </w:pPr>
      <w:r>
        <w:t xml:space="preserve">1. Objective</w:t>
      </w:r>
    </w:p>
    <w:p>
      <w:pPr>
        <w:spacing w:after="120"/>
      </w:pPr>
      <w:r>
        <w:t xml:space="preserve">Before any SQL, Power BI, or statistical work happens, the source workbook needs to be verified for correctness and consistency. This document records every check performed on the three source tables, what was found, the decision taken for each issue, and the exact fields added to the cleaned dataset so the logic is traceable back to this report.</w:t>
      </w:r>
    </w:p>
    <w:p>
      <w:pPr>
        <w:pStyle w:val="Heading1"/>
        <w:spacing w:after="120" w:before="240"/>
      </w:pPr>
      <w:r>
        <w:t xml:space="preserve">2. Method</w:t>
      </w:r>
    </w:p>
    <w:p>
      <w:pPr>
        <w:spacing w:after="120"/>
      </w:pPr>
      <w:r>
        <w:t xml:space="preserve">Each table was profiled column-by-column in Python (pandas) for: missing values, duplicate keys, duplicate rows, referential integrity between tables, category/label consistency (casing, whitespace, spelling variants), numeric range and outlier checks (IQR method), and cross-field arithmetic consistency (Quantity × Unit Price vs. recorded Order Value).</w:t>
      </w:r>
    </w:p>
    <w:p>
      <w:pPr>
        <w:pStyle w:val="Heading1"/>
        <w:spacing w:after="120" w:before="240"/>
      </w:pPr>
      <w:r>
        <w:t xml:space="preserve">3. Findings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5500"/>
      </w:tblGrid>
      <w:tr>
        <w:tc>
          <w:tcPr>
            <w:tcW w:type="dxa" w:w="500"/>
            <w:shd w:fill="2E5077" w:val="clear"/>
          </w:tcPr>
          <w:p>
            <w:r>
              <w:rPr>
                <w:b/>
                <w:bCs/>
                <w:color w:val="FFFFFF"/>
                <w:sz w:val="20"/>
                <w:szCs w:val="20"/>
              </w:rPr>
              <w:t xml:space="preserve">#</w:t>
            </w:r>
          </w:p>
        </w:tc>
        <w:tc>
          <w:tcPr>
            <w:tcW w:type="dxa" w:w="3000"/>
            <w:shd w:fill="2E5077" w:val="clear"/>
          </w:tcPr>
          <w:p>
            <w:r>
              <w:rPr>
                <w:b/>
                <w:bCs/>
                <w:color w:val="FFFFFF"/>
                <w:sz w:val="20"/>
                <w:szCs w:val="20"/>
              </w:rPr>
              <w:t xml:space="preserve">Check</w:t>
            </w:r>
          </w:p>
        </w:tc>
        <w:tc>
          <w:tcPr>
            <w:tcW w:type="dxa" w:w="5500"/>
            <w:shd w:fill="2E5077" w:val="clear"/>
          </w:tcPr>
          <w:p>
            <w:r>
              <w:rPr>
                <w:b/>
                <w:bCs/>
                <w:color w:val="FFFFFF"/>
                <w:sz w:val="20"/>
                <w:szCs w:val="20"/>
              </w:rPr>
              <w:t xml:space="preserve">Result</w:t>
            </w:r>
          </w:p>
        </w:tc>
      </w:tr>
      <w:tr>
        <w:tc>
          <w:tcPr>
            <w:tcW w:type="dxa" w:w="500"/>
          </w:tcPr>
          <w:p>
            <w:r>
              <w:rPr>
                <w:b w:val="false"/>
                <w:bCs w:val="false"/>
                <w:sz w:val="20"/>
                <w:szCs w:val="20"/>
              </w:rPr>
              <w:t xml:space="preserve">1</w:t>
            </w:r>
          </w:p>
        </w:tc>
        <w:tc>
          <w:tcPr>
            <w:tcW w:type="dxa" w:w="3000"/>
          </w:tcPr>
          <w:p>
            <w:r>
              <w:rPr>
                <w:b w:val="false"/>
                <w:bCs w:val="false"/>
                <w:sz w:val="20"/>
                <w:szCs w:val="20"/>
              </w:rPr>
              <w:t xml:space="preserve">Missing values (all columns, all tables)</w:t>
            </w:r>
          </w:p>
        </w:tc>
        <w:tc>
          <w:tcPr>
            <w:tcW w:type="dxa" w:w="5500"/>
          </w:tcPr>
          <w:p>
            <w:r>
              <w:rPr>
                <w:b w:val="false"/>
                <w:bCs w:val="false"/>
                <w:sz w:val="20"/>
                <w:szCs w:val="20"/>
              </w:rPr>
              <w:t xml:space="preserve">0 nulls found in Customers, Products, Orders</w:t>
            </w:r>
          </w:p>
        </w:tc>
      </w:tr>
      <w:tr>
        <w:tc>
          <w:tcPr>
            <w:tcW w:type="dxa" w:w="500"/>
          </w:tcPr>
          <w:p>
            <w:r>
              <w:rPr>
                <w:b w:val="false"/>
                <w:bCs w:val="false"/>
                <w:sz w:val="20"/>
                <w:szCs w:val="20"/>
              </w:rPr>
              <w:t xml:space="preserve">2</w:t>
            </w:r>
          </w:p>
        </w:tc>
        <w:tc>
          <w:tcPr>
            <w:tcW w:type="dxa" w:w="3000"/>
          </w:tcPr>
          <w:p>
            <w:r>
              <w:rPr>
                <w:b w:val="false"/>
                <w:bCs w:val="false"/>
                <w:sz w:val="20"/>
                <w:szCs w:val="20"/>
              </w:rPr>
              <w:t xml:space="preserve">Duplicate primary keys</w:t>
            </w:r>
          </w:p>
        </w:tc>
        <w:tc>
          <w:tcPr>
            <w:tcW w:type="dxa" w:w="5500"/>
          </w:tcPr>
          <w:p>
            <w:r>
              <w:rPr>
                <w:b w:val="false"/>
                <w:bCs w:val="false"/>
                <w:sz w:val="20"/>
                <w:szCs w:val="20"/>
              </w:rPr>
              <w:t xml:space="preserve">0 duplicate CustomerID / ProductID / OrderID</w:t>
            </w:r>
          </w:p>
        </w:tc>
      </w:tr>
      <w:tr>
        <w:tc>
          <w:tcPr>
            <w:tcW w:type="dxa" w:w="500"/>
          </w:tcPr>
          <w:p>
            <w:r>
              <w:rPr>
                <w:b w:val="false"/>
                <w:bCs w:val="false"/>
                <w:sz w:val="20"/>
                <w:szCs w:val="20"/>
              </w:rPr>
              <w:t xml:space="preserve">3</w:t>
            </w:r>
          </w:p>
        </w:tc>
        <w:tc>
          <w:tcPr>
            <w:tcW w:type="dxa" w:w="3000"/>
          </w:tcPr>
          <w:p>
            <w:r>
              <w:rPr>
                <w:b w:val="false"/>
                <w:bCs w:val="false"/>
                <w:sz w:val="20"/>
                <w:szCs w:val="20"/>
              </w:rPr>
              <w:t xml:space="preserve">Duplicate full rows</w:t>
            </w:r>
          </w:p>
        </w:tc>
        <w:tc>
          <w:tcPr>
            <w:tcW w:type="dxa" w:w="5500"/>
          </w:tcPr>
          <w:p>
            <w:r>
              <w:rPr>
                <w:b w:val="false"/>
                <w:bCs w:val="false"/>
                <w:sz w:val="20"/>
                <w:szCs w:val="20"/>
              </w:rPr>
              <w:t xml:space="preserve">0 in any table</w:t>
            </w:r>
          </w:p>
        </w:tc>
      </w:tr>
      <w:tr>
        <w:tc>
          <w:tcPr>
            <w:tcW w:type="dxa" w:w="500"/>
          </w:tcPr>
          <w:p>
            <w:r>
              <w:rPr>
                <w:b w:val="false"/>
                <w:bCs w:val="false"/>
                <w:sz w:val="20"/>
                <w:szCs w:val="20"/>
              </w:rPr>
              <w:t xml:space="preserve">4</w:t>
            </w:r>
          </w:p>
        </w:tc>
        <w:tc>
          <w:tcPr>
            <w:tcW w:type="dxa" w:w="3000"/>
          </w:tcPr>
          <w:p>
            <w:r>
              <w:rPr>
                <w:b w:val="false"/>
                <w:bCs w:val="false"/>
                <w:sz w:val="20"/>
                <w:szCs w:val="20"/>
              </w:rPr>
              <w:t xml:space="preserve">Referential integrity</w:t>
            </w:r>
          </w:p>
        </w:tc>
        <w:tc>
          <w:tcPr>
            <w:tcW w:type="dxa" w:w="5500"/>
          </w:tcPr>
          <w:p>
            <w:r>
              <w:rPr>
                <w:b w:val="false"/>
                <w:bCs w:val="false"/>
                <w:sz w:val="20"/>
                <w:szCs w:val="20"/>
              </w:rPr>
              <w:t xml:space="preserve">Every Orders.CustomerID and Orders.ProductID resolves to an existing customer/product</w:t>
            </w:r>
          </w:p>
        </w:tc>
      </w:tr>
      <w:tr>
        <w:tc>
          <w:tcPr>
            <w:tcW w:type="dxa" w:w="500"/>
          </w:tcPr>
          <w:p>
            <w:r>
              <w:rPr>
                <w:b w:val="false"/>
                <w:bCs w:val="false"/>
                <w:sz w:val="20"/>
                <w:szCs w:val="20"/>
              </w:rPr>
              <w:t xml:space="preserve">5</w:t>
            </w:r>
          </w:p>
        </w:tc>
        <w:tc>
          <w:tcPr>
            <w:tcW w:type="dxa" w:w="3000"/>
          </w:tcPr>
          <w:p>
            <w:r>
              <w:rPr>
                <w:b w:val="false"/>
                <w:bCs w:val="false"/>
                <w:sz w:val="20"/>
                <w:szCs w:val="20"/>
              </w:rPr>
              <w:t xml:space="preserve">Category/text consistency</w:t>
            </w:r>
          </w:p>
        </w:tc>
        <w:tc>
          <w:tcPr>
            <w:tcW w:type="dxa" w:w="5500"/>
          </w:tcPr>
          <w:p>
            <w:r>
              <w:rPr>
                <w:b w:val="false"/>
                <w:bCs w:val="false"/>
                <w:sz w:val="20"/>
                <w:szCs w:val="20"/>
              </w:rPr>
              <w:t xml:space="preserve">Category, Brand, City, OrderStatus, PaymentMethod, CustomerSegment all use consistent, clean labels - no casing or spelling variants detected</w:t>
            </w:r>
          </w:p>
        </w:tc>
      </w:tr>
      <w:tr>
        <w:tc>
          <w:tcPr>
            <w:tcW w:type="dxa" w:w="500"/>
          </w:tcPr>
          <w:p>
            <w:r>
              <w:rPr>
                <w:b w:val="false"/>
                <w:bCs w:val="false"/>
                <w:sz w:val="20"/>
                <w:szCs w:val="20"/>
              </w:rPr>
              <w:t xml:space="preserve">6</w:t>
            </w:r>
          </w:p>
        </w:tc>
        <w:tc>
          <w:tcPr>
            <w:tcW w:type="dxa" w:w="3000"/>
          </w:tcPr>
          <w:p>
            <w:r>
              <w:rPr>
                <w:b w:val="false"/>
                <w:bCs w:val="false"/>
                <w:sz w:val="20"/>
                <w:szCs w:val="20"/>
              </w:rPr>
              <w:t xml:space="preserve">Order Value vs Qty x Unit Price</w:t>
            </w:r>
          </w:p>
        </w:tc>
        <w:tc>
          <w:tcPr>
            <w:tcW w:type="dxa" w:w="5500"/>
          </w:tcPr>
          <w:p>
            <w:r>
              <w:rPr>
                <w:b w:val="false"/>
                <w:bCs w:val="false"/>
                <w:sz w:val="20"/>
                <w:szCs w:val="20"/>
              </w:rPr>
              <w:t xml:space="preserve">Only 9 of 100,000 orders reconcile exactly; the rest differ by up to +/-Rs.73,300 (see 4.1)</w:t>
            </w:r>
          </w:p>
        </w:tc>
      </w:tr>
      <w:tr>
        <w:tc>
          <w:tcPr>
            <w:tcW w:type="dxa" w:w="500"/>
          </w:tcPr>
          <w:p>
            <w:r>
              <w:rPr>
                <w:b w:val="false"/>
                <w:bCs w:val="false"/>
                <w:sz w:val="20"/>
                <w:szCs w:val="20"/>
              </w:rPr>
              <w:t xml:space="preserve">7</w:t>
            </w:r>
          </w:p>
        </w:tc>
        <w:tc>
          <w:tcPr>
            <w:tcW w:type="dxa" w:w="3000"/>
          </w:tcPr>
          <w:p>
            <w:r>
              <w:rPr>
                <w:b w:val="false"/>
                <w:bCs w:val="false"/>
                <w:sz w:val="20"/>
                <w:szCs w:val="20"/>
              </w:rPr>
              <w:t xml:space="preserve">Ratings on non-delivered orders</w:t>
            </w:r>
          </w:p>
        </w:tc>
        <w:tc>
          <w:tcPr>
            <w:tcW w:type="dxa" w:w="5500"/>
          </w:tcPr>
          <w:p>
            <w:r>
              <w:rPr>
                <w:b w:val="false"/>
                <w:bCs w:val="false"/>
                <w:sz w:val="20"/>
                <w:szCs w:val="20"/>
              </w:rPr>
              <w:t xml:space="preserve">49,984 of 100,000 orders carry a 1-5 rating despite being Shipped, Returned or Cancelled (see 4.2)</w:t>
            </w:r>
          </w:p>
        </w:tc>
      </w:tr>
      <w:tr>
        <w:tc>
          <w:tcPr>
            <w:tcW w:type="dxa" w:w="500"/>
          </w:tcPr>
          <w:p>
            <w:r>
              <w:rPr>
                <w:b w:val="false"/>
                <w:bCs w:val="false"/>
                <w:sz w:val="20"/>
                <w:szCs w:val="20"/>
              </w:rPr>
              <w:t xml:space="preserve">8</w:t>
            </w:r>
          </w:p>
        </w:tc>
        <w:tc>
          <w:tcPr>
            <w:tcW w:type="dxa" w:w="3000"/>
          </w:tcPr>
          <w:p>
            <w:r>
              <w:rPr>
                <w:b w:val="false"/>
                <w:bCs w:val="false"/>
                <w:sz w:val="20"/>
                <w:szCs w:val="20"/>
              </w:rPr>
              <w:t xml:space="preserve">Statistical outliers - Order Value</w:t>
            </w:r>
          </w:p>
        </w:tc>
        <w:tc>
          <w:tcPr>
            <w:tcW w:type="dxa" w:w="5500"/>
          </w:tcPr>
          <w:p>
            <w:r>
              <w:rPr>
                <w:b w:val="false"/>
                <w:bCs w:val="false"/>
                <w:sz w:val="20"/>
                <w:szCs w:val="20"/>
              </w:rPr>
              <w:t xml:space="preserve">928 orders (0.93%) fall outside the IQR fence [-19,579, 47,618]</w:t>
            </w:r>
          </w:p>
        </w:tc>
      </w:tr>
      <w:tr>
        <w:tc>
          <w:tcPr>
            <w:tcW w:type="dxa" w:w="500"/>
          </w:tcPr>
          <w:p>
            <w:r>
              <w:rPr>
                <w:b w:val="false"/>
                <w:bCs w:val="false"/>
                <w:sz w:val="20"/>
                <w:szCs w:val="20"/>
              </w:rPr>
              <w:t xml:space="preserve">9</w:t>
            </w:r>
          </w:p>
        </w:tc>
        <w:tc>
          <w:tcPr>
            <w:tcW w:type="dxa" w:w="3000"/>
          </w:tcPr>
          <w:p>
            <w:r>
              <w:rPr>
                <w:b w:val="false"/>
                <w:bCs w:val="false"/>
                <w:sz w:val="20"/>
                <w:szCs w:val="20"/>
              </w:rPr>
              <w:t xml:space="preserve">Date range / completeness</w:t>
            </w:r>
          </w:p>
        </w:tc>
        <w:tc>
          <w:tcPr>
            <w:tcW w:type="dxa" w:w="5500"/>
          </w:tcPr>
          <w:p>
            <w:r>
              <w:rPr>
                <w:b w:val="false"/>
                <w:bCs w:val="false"/>
                <w:sz w:val="20"/>
                <w:szCs w:val="20"/>
              </w:rPr>
              <w:t xml:space="preserve">Data spans 1 Jan 2024 - 1 Jul 2026; the final period (Jul 2026) has only 1 day of orders (112 rows) - a partial month</w:t>
            </w:r>
          </w:p>
        </w:tc>
      </w:tr>
      <w:tr>
        <w:tc>
          <w:tcPr>
            <w:tcW w:type="dxa" w:w="500"/>
          </w:tcPr>
          <w:p>
            <w:r>
              <w:rPr>
                <w:b w:val="false"/>
                <w:bCs w:val="false"/>
                <w:sz w:val="20"/>
                <w:szCs w:val="20"/>
              </w:rPr>
              <w:t xml:space="preserve">10</w:t>
            </w:r>
          </w:p>
        </w:tc>
        <w:tc>
          <w:tcPr>
            <w:tcW w:type="dxa" w:w="3000"/>
          </w:tcPr>
          <w:p>
            <w:r>
              <w:rPr>
                <w:b w:val="false"/>
                <w:bCs w:val="false"/>
                <w:sz w:val="20"/>
                <w:szCs w:val="20"/>
              </w:rPr>
              <w:t xml:space="preserve">Quantity range</w:t>
            </w:r>
          </w:p>
        </w:tc>
        <w:tc>
          <w:tcPr>
            <w:tcW w:type="dxa" w:w="5500"/>
          </w:tcPr>
          <w:p>
            <w:r>
              <w:rPr>
                <w:b w:val="false"/>
                <w:bCs w:val="false"/>
                <w:sz w:val="20"/>
                <w:szCs w:val="20"/>
              </w:rPr>
              <w:t xml:space="preserve">1 to 5 units per order; 0 outliers - values look intentionally bounded, not erroneous</w:t>
            </w:r>
          </w:p>
        </w:tc>
      </w:tr>
    </w:tbl>
    <w:p>
      <w:pPr>
        <w:spacing w:after="120"/>
      </w:pPr>
      <w:r>
        <w:t xml:space="preserve"/>
      </w:r>
    </w:p>
    <w:p>
      <w:pPr>
        <w:pStyle w:val="Heading1"/>
        <w:spacing w:after="120" w:before="240"/>
      </w:pPr>
      <w:r>
        <w:t xml:space="preserve">4. Issues Investigated in Detail</w:t>
      </w:r>
    </w:p>
    <w:p>
      <w:pPr>
        <w:pStyle w:val="Heading2"/>
        <w:spacing w:after="120" w:before="240"/>
      </w:pPr>
      <w:r>
        <w:t xml:space="preserve">4.1 Order Value does not reconcile with Quantity x Unit Price</w:t>
      </w:r>
    </w:p>
    <w:p>
      <w:pPr>
        <w:spacing w:after="120"/>
      </w:pPr>
      <w:r>
        <w:t xml:space="preserve">For 99.99% of orders, OrderValue != Quantity * Products.UnitPrice. The gap is large and goes in both directions (mean variance -Rs.7,377; range -Rs.73,300 to +Rs.48,885), so this isn't simple rounding - it looks like OrderValue already reflects discounts, coupons, taxes or price-at-time-of-order that the current tables don't capture separately.</w:t>
      </w:r>
    </w:p>
    <w:p>
      <w:pPr>
        <w:spacing w:after="120"/>
      </w:pPr>
      <w:r>
        <w:t xml:space="preserve">Decision: keep OrderValue as the source-of-truth revenue figure (it's what the business actually recorded as the transaction amount). Added ComputedValue (Qty x current UnitPrice) and ValueVariance / ValueVariancePct as new columns so any downstream analysis can flag or investigate large gaps rather than silently trusting either number. This is called out explicitly as an assumption - a real project would confirm this with the data owner before finalizing.</w:t>
      </w:r>
    </w:p>
    <w:p>
      <w:pPr>
        <w:pStyle w:val="Heading2"/>
        <w:spacing w:after="120" w:before="240"/>
      </w:pPr>
      <w:r>
        <w:t xml:space="preserve">4.2 Ratings exist for orders that were never delivered</w:t>
      </w:r>
    </w:p>
    <w:p>
      <w:pPr>
        <w:spacing w:after="120"/>
      </w:pPr>
      <w:r>
        <w:t xml:space="preserve">Logically, a customer can only rate a product after receiving it, yet Cancelled, Shipped and Returned orders carry ratings at almost the same rate and distribution as Delivered orders (mean ~3.0 across all four statuses). This suggests the rating field was generated independently of order status rather than reflecting a genuine post-delivery review.</w:t>
      </w:r>
    </w:p>
    <w:p>
      <w:pPr>
        <w:spacing w:after="120"/>
      </w:pPr>
      <w:r>
        <w:t xml:space="preserve">Decision: the raw Rating value was not deleted or nulled out, since doing so would destroy information without certainty about its source. Instead, added IsDeliveredRating (Y/N) so any satisfaction analysis can filter to Delivered orders only, which is the only status where a rating is business-meaningful.</w:t>
      </w:r>
    </w:p>
    <w:p>
      <w:pPr>
        <w:pStyle w:val="Heading2"/>
        <w:spacing w:after="120" w:before="240"/>
      </w:pPr>
      <w:r>
        <w:t xml:space="preserve">4.3 Statistical outliers in Order Value</w:t>
      </w:r>
    </w:p>
    <w:p>
      <w:pPr>
        <w:spacing w:after="120"/>
      </w:pPr>
      <w:r>
        <w:t xml:space="preserve">Using the 1.5xIQR rule, 928 orders sit outside the [-19,579, 47,618] fence (values run up to Rs.50,000). These are legitimate high-value transactions (e.g., bulk purchases), not data-entry errors, since Quantity and UnitPrice both stay within sane bounds. Decision: flagged with IsOrderValueOutlier (Y/N) rather than removed, so they can be included or excluded per analysis without losing rows.</w:t>
      </w:r>
    </w:p>
    <w:p>
      <w:pPr>
        <w:pStyle w:val="Heading2"/>
        <w:spacing w:after="120" w:before="240"/>
      </w:pPr>
      <w:r>
        <w:t xml:space="preserve">4.4 Partial final month</w:t>
      </w:r>
    </w:p>
    <w:p>
      <w:pPr>
        <w:spacing w:after="120"/>
      </w:pPr>
      <w:r>
        <w:t xml:space="preserve">July 2026 has only one calendar day of data (112 orders vs. a monthly average of ~3,300). Left in the table but flagged IsPartialPeriod (Y/N) so month-over-month trend charts and growth-rate calculations can exclude it - otherwise it reads as a cliff-edge drop in the last month.</w:t>
      </w:r>
    </w:p>
    <w:p>
      <w:pPr>
        <w:pStyle w:val="Heading1"/>
        <w:spacing w:after="120" w:before="240"/>
      </w:pPr>
      <w:r>
        <w:t xml:space="preserve">5. Cleaning Actions Applied</w:t>
      </w:r>
    </w:p>
    <w:p>
      <w:pPr>
        <w:pStyle w:val="ListParagraph"/>
        <w:numPr>
          <w:ilvl w:val="0"/>
          <w:numId w:val="1"/>
        </w:numPr>
        <w:spacing w:after="60"/>
      </w:pPr>
      <w:r>
        <w:t xml:space="preserve">Trimmed whitespace and standardized casing on all text fields (defensive - none were dirty, but this is applied so the pipeline is robust to future data loads).</w:t>
      </w:r>
    </w:p>
    <w:p>
      <w:pPr>
        <w:pStyle w:val="ListParagraph"/>
        <w:numPr>
          <w:ilvl w:val="0"/>
          <w:numId w:val="1"/>
        </w:numPr>
        <w:spacing w:after="60"/>
      </w:pPr>
      <w:r>
        <w:t xml:space="preserve">Standardized PaymentMethod to consistent casing (UPI, COD, Wallet, NetBanking, Card) and CustomerSegment (New, Returning, VIP).</w:t>
      </w:r>
    </w:p>
    <w:p>
      <w:pPr>
        <w:pStyle w:val="ListParagraph"/>
        <w:numPr>
          <w:ilvl w:val="0"/>
          <w:numId w:val="1"/>
        </w:numPr>
        <w:spacing w:after="60"/>
      </w:pPr>
      <w:r>
        <w:t xml:space="preserve">Added OrderYear, OrderMonth, OrderYearMonth for time-series analysis.</w:t>
      </w:r>
    </w:p>
    <w:p>
      <w:pPr>
        <w:pStyle w:val="ListParagraph"/>
        <w:numPr>
          <w:ilvl w:val="0"/>
          <w:numId w:val="1"/>
        </w:numPr>
        <w:spacing w:after="60"/>
      </w:pPr>
      <w:r>
        <w:t xml:space="preserve">Added ComputedValue, ValueVariance, ValueVariancePct (see 4.1).</w:t>
      </w:r>
    </w:p>
    <w:p>
      <w:pPr>
        <w:pStyle w:val="ListParagraph"/>
        <w:numPr>
          <w:ilvl w:val="0"/>
          <w:numId w:val="1"/>
        </w:numPr>
        <w:spacing w:after="60"/>
      </w:pPr>
      <w:r>
        <w:t xml:space="preserve">Added IsDeliveredRating flag (see 4.2).</w:t>
      </w:r>
    </w:p>
    <w:p>
      <w:pPr>
        <w:pStyle w:val="ListParagraph"/>
        <w:numPr>
          <w:ilvl w:val="0"/>
          <w:numId w:val="1"/>
        </w:numPr>
        <w:spacing w:after="60"/>
      </w:pPr>
      <w:r>
        <w:t xml:space="preserve">Added IsOrderValueOutlier flag (see 4.3).</w:t>
      </w:r>
    </w:p>
    <w:p>
      <w:pPr>
        <w:pStyle w:val="ListParagraph"/>
        <w:numPr>
          <w:ilvl w:val="0"/>
          <w:numId w:val="1"/>
        </w:numPr>
        <w:spacing w:after="60"/>
      </w:pPr>
      <w:r>
        <w:t xml:space="preserve">Added IsPartialPeriod flag (see 4.4).</w:t>
      </w:r>
    </w:p>
    <w:p>
      <w:pPr>
        <w:pStyle w:val="ListParagraph"/>
        <w:numPr>
          <w:ilvl w:val="0"/>
          <w:numId w:val="1"/>
        </w:numPr>
        <w:spacing w:after="60"/>
      </w:pPr>
      <w:r>
        <w:t xml:space="preserve">Verified data types: IDs as integers, OrderDate as proper date, monetary fields as numeric.</w:t>
      </w:r>
    </w:p>
    <w:p>
      <w:pPr>
        <w:pStyle w:val="ListParagraph"/>
        <w:numPr>
          <w:ilvl w:val="0"/>
          <w:numId w:val="1"/>
        </w:numPr>
        <w:spacing w:after="60"/>
      </w:pPr>
      <w:r>
        <w:t xml:space="preserve">No rows were deleted. Every quality issue was handled by flagging/enriching rather than dropping data, since sample size (100K orders) and the ambiguity of the root cause did not justify deletion.</w:t>
      </w:r>
    </w:p>
    <w:p>
      <w:pPr>
        <w:pStyle w:val="Heading1"/>
        <w:spacing w:after="120" w:before="240"/>
      </w:pPr>
      <w:r>
        <w:t xml:space="preserve">6. Output Files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W w:type="dxa" w:w="4000"/>
            <w:shd w:fill="2E5077" w:val="clear"/>
          </w:tcPr>
          <w:p>
            <w:r>
              <w:rPr>
                <w:b/>
                <w:bCs/>
                <w:color w:val="FFFFFF"/>
                <w:sz w:val="20"/>
                <w:szCs w:val="20"/>
              </w:rPr>
              <w:t xml:space="preserve">File</w:t>
            </w:r>
          </w:p>
        </w:tc>
        <w:tc>
          <w:tcPr>
            <w:tcW w:type="dxa" w:w="5000"/>
            <w:shd w:fill="2E5077" w:val="clear"/>
          </w:tcPr>
          <w:p>
            <w:r>
              <w:rPr>
                <w:b/>
                <w:bCs/>
                <w:color w:val="FFFFFF"/>
                <w:sz w:val="20"/>
                <w:szCs w:val="20"/>
              </w:rPr>
              <w:t xml:space="preserve">Contents</w:t>
            </w:r>
          </w:p>
        </w:tc>
      </w:tr>
      <w:tr>
        <w:tc>
          <w:tcPr>
            <w:tcW w:type="dxa" w:w="4000"/>
          </w:tcPr>
          <w:p>
            <w:r>
              <w:rPr>
                <w:b w:val="false"/>
                <w:bCs w:val="false"/>
                <w:sz w:val="20"/>
                <w:szCs w:val="20"/>
              </w:rPr>
              <w:t xml:space="preserve">Customers_cleaned.csv / .xlsx</w:t>
            </w:r>
          </w:p>
        </w:tc>
        <w:tc>
          <w:tcPr>
            <w:tcW w:type="dxa" w:w="5000"/>
          </w:tcPr>
          <w:p>
            <w:r>
              <w:rPr>
                <w:b w:val="false"/>
                <w:bCs w:val="false"/>
                <w:sz w:val="20"/>
                <w:szCs w:val="20"/>
              </w:rPr>
              <w:t xml:space="preserve">25,000 rows, standardized text fields</w:t>
            </w:r>
          </w:p>
        </w:tc>
      </w:tr>
      <w:tr>
        <w:tc>
          <w:tcPr>
            <w:tcW w:type="dxa" w:w="4000"/>
          </w:tcPr>
          <w:p>
            <w:r>
              <w:rPr>
                <w:b w:val="false"/>
                <w:bCs w:val="false"/>
                <w:sz w:val="20"/>
                <w:szCs w:val="20"/>
              </w:rPr>
              <w:t xml:space="preserve">Products_cleaned.csv / .xlsx</w:t>
            </w:r>
          </w:p>
        </w:tc>
        <w:tc>
          <w:tcPr>
            <w:tcW w:type="dxa" w:w="5000"/>
          </w:tcPr>
          <w:p>
            <w:r>
              <w:rPr>
                <w:b w:val="false"/>
                <w:bCs w:val="false"/>
                <w:sz w:val="20"/>
                <w:szCs w:val="20"/>
              </w:rPr>
              <w:t xml:space="preserve">2,000 rows, standardized text fields</w:t>
            </w:r>
          </w:p>
        </w:tc>
      </w:tr>
      <w:tr>
        <w:tc>
          <w:tcPr>
            <w:tcW w:type="dxa" w:w="4000"/>
          </w:tcPr>
          <w:p>
            <w:r>
              <w:rPr>
                <w:b w:val="false"/>
                <w:bCs w:val="false"/>
                <w:sz w:val="20"/>
                <w:szCs w:val="20"/>
              </w:rPr>
              <w:t xml:space="preserve">Orders_cleaned.csv / .xlsx</w:t>
            </w:r>
          </w:p>
        </w:tc>
        <w:tc>
          <w:tcPr>
            <w:tcW w:type="dxa" w:w="5000"/>
          </w:tcPr>
          <w:p>
            <w:r>
              <w:rPr>
                <w:b w:val="false"/>
                <w:bCs w:val="false"/>
                <w:sz w:val="20"/>
                <w:szCs w:val="20"/>
              </w:rPr>
              <w:t xml:space="preserve">100,000 rows + 8 new derived/QA columns</w:t>
            </w:r>
          </w:p>
        </w:tc>
      </w:tr>
      <w:tr>
        <w:tc>
          <w:tcPr>
            <w:tcW w:type="dxa" w:w="4000"/>
          </w:tcPr>
          <w:p>
            <w:r>
              <w:rPr>
                <w:b w:val="false"/>
                <w:bCs w:val="false"/>
                <w:sz w:val="20"/>
                <w:szCs w:val="20"/>
              </w:rPr>
              <w:t xml:space="preserve">Ecommerce_100K_Cleaned.xlsx</w:t>
            </w:r>
          </w:p>
        </w:tc>
        <w:tc>
          <w:tcPr>
            <w:tcW w:type="dxa" w:w="5000"/>
          </w:tcPr>
          <w:p>
            <w:r>
              <w:rPr>
                <w:b w:val="false"/>
                <w:bCs w:val="false"/>
                <w:sz w:val="20"/>
                <w:szCs w:val="20"/>
              </w:rPr>
              <w:t xml:space="preserve">All three tables in one workbook</w:t>
            </w:r>
          </w:p>
        </w:tc>
      </w:tr>
    </w:tbl>
    <w:p>
      <w:pPr>
        <w:spacing w:after="120"/>
      </w:pPr>
      <w:r>
        <w:t xml:space="preserve"/>
      </w:r>
    </w:p>
    <w:p>
      <w:pPr>
        <w:pStyle w:val="Heading1"/>
        <w:spacing w:after="120" w:before="240"/>
      </w:pPr>
      <w:r>
        <w:t xml:space="preserve">7. Recommendation for Next Steps</w:t>
      </w:r>
    </w:p>
    <w:p>
      <w:pPr>
        <w:pStyle w:val="ListParagraph"/>
        <w:numPr>
          <w:ilvl w:val="0"/>
          <w:numId w:val="1"/>
        </w:numPr>
        <w:spacing w:after="60"/>
      </w:pPr>
      <w:r>
        <w:t xml:space="preserve">Confirm the OrderValue vs. computed-value gap with whoever owns the source system (discounts? historic pricing? tax?) before treating either figure as ground truth in reporting.</w:t>
      </w:r>
    </w:p>
    <w:p>
      <w:pPr>
        <w:pStyle w:val="ListParagraph"/>
        <w:numPr>
          <w:ilvl w:val="0"/>
          <w:numId w:val="1"/>
        </w:numPr>
        <w:spacing w:after="60"/>
      </w:pPr>
      <w:r>
        <w:t xml:space="preserve">In dashboards, filter satisfaction/rating metrics to IsDeliveredRating = 'Y' unless deliberately analyzing all orders.</w:t>
      </w:r>
    </w:p>
    <w:p>
      <w:pPr>
        <w:pStyle w:val="ListParagraph"/>
        <w:numPr>
          <w:ilvl w:val="0"/>
          <w:numId w:val="1"/>
        </w:numPr>
        <w:spacing w:after="60"/>
      </w:pPr>
      <w:r>
        <w:t xml:space="preserve">Exclude IsPartialPeriod = 'Y' from month-over-month growth calculations.</w:t>
      </w:r>
    </w:p>
    <w:p>
      <w:pPr>
        <w:pStyle w:val="ListParagraph"/>
        <w:numPr>
          <w:ilvl w:val="0"/>
          <w:numId w:val="1"/>
        </w:numPr>
        <w:spacing w:after="60"/>
      </w:pPr>
      <w:r>
        <w:t xml:space="preserve">Load the cleaned CSVs into Oracle using the accompanying DDL and SQL*Loader control files.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2026-09-07T08:22:19.784Z</dcterms:created>
  <dcterms:modified xsi:type="dcterms:W3CDTF">2026-09-07T08:22:19.793Z</dcterms:modified>
</cp:coreProperties>
</file>

<file path=docProps/custom.xml><?xml version="1.0" encoding="utf-8"?>
<Properties xmlns="http://schemas.openxmlformats.org/officeDocument/2006/custom-properties" xmlns:vt="http://schemas.openxmlformats.org/officeDocument/2006/docPropsVTypes"/>
</file>