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E-Commerce 100K - Python &amp; Statistical Analysis</w:t>
      </w:r>
    </w:p>
    <w:p>
      <w:pPr>
        <w:spacing w:after="120"/>
      </w:pPr>
      <w:r>
        <w:rPr>
          <w:i/>
          <w:iCs/>
        </w:rPr>
        <w:t xml:space="preserve">Exploratory analysis, hypothesis testing and customer segmentation performed in Python (pandas, scipy, matplotlib) on the cleaned dataset.</w:t>
      </w:r>
    </w:p>
    <w:p>
      <w:pPr>
        <w:pStyle w:val="Heading1"/>
        <w:spacing w:after="120" w:before="240"/>
      </w:pPr>
      <w:r>
        <w:t xml:space="preserve">1. Descriptive Overview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2E5077" w:val="clear"/>
          </w:tcPr>
          <w:p>
            <w:r>
              <w:rPr>
                <w:b/>
                <w:bCs/>
                <w:color w:val="FFFFFF"/>
                <w:sz w:val="20"/>
                <w:szCs w:val="20"/>
              </w:rPr>
              <w:t xml:space="preserve">Metric</w:t>
            </w:r>
          </w:p>
        </w:tc>
        <w:tc>
          <w:tcPr>
            <w:tcW w:type="dxa" w:w="4500"/>
            <w:shd w:fill="2E5077" w:val="clear"/>
          </w:tcPr>
          <w:p>
            <w:r>
              <w:rPr>
                <w:b/>
                <w:bCs/>
                <w:color w:val="FFFFFF"/>
                <w:sz w:val="20"/>
                <w:szCs w:val="20"/>
              </w:rPr>
              <w:t xml:space="preserve">Value</w:t>
            </w:r>
          </w:p>
        </w:tc>
      </w:tr>
      <w:tr>
        <w:tc>
          <w:tcPr>
            <w:tcW w:type="dxa" w:w="4500"/>
          </w:tcPr>
          <w:p>
            <w:r>
              <w:rPr>
                <w:b w:val="false"/>
                <w:bCs w:val="false"/>
                <w:sz w:val="20"/>
                <w:szCs w:val="20"/>
              </w:rPr>
              <w:t xml:space="preserve">Total orders</w:t>
            </w:r>
          </w:p>
        </w:tc>
        <w:tc>
          <w:tcPr>
            <w:tcW w:type="dxa" w:w="4500"/>
          </w:tcPr>
          <w:p>
            <w:r>
              <w:rPr>
                <w:b w:val="false"/>
                <w:bCs w:val="false"/>
                <w:sz w:val="20"/>
                <w:szCs w:val="20"/>
              </w:rPr>
              <w:t xml:space="preserve">100,000</w:t>
            </w:r>
          </w:p>
        </w:tc>
      </w:tr>
      <w:tr>
        <w:tc>
          <w:tcPr>
            <w:tcW w:type="dxa" w:w="4500"/>
          </w:tcPr>
          <w:p>
            <w:r>
              <w:rPr>
                <w:b w:val="false"/>
                <w:bCs w:val="false"/>
                <w:sz w:val="20"/>
                <w:szCs w:val="20"/>
              </w:rPr>
              <w:t xml:space="preserve">Total revenue</w:t>
            </w:r>
          </w:p>
        </w:tc>
        <w:tc>
          <w:tcPr>
            <w:tcW w:type="dxa" w:w="4500"/>
          </w:tcPr>
          <w:p>
            <w:r>
              <w:rPr>
                <w:b w:val="false"/>
                <w:bCs w:val="false"/>
                <w:sz w:val="20"/>
                <w:szCs w:val="20"/>
              </w:rPr>
              <w:t xml:space="preserve">Rs. 1,512,741,925</w:t>
            </w:r>
          </w:p>
        </w:tc>
      </w:tr>
      <w:tr>
        <w:tc>
          <w:tcPr>
            <w:tcW w:type="dxa" w:w="4500"/>
          </w:tcPr>
          <w:p>
            <w:r>
              <w:rPr>
                <w:b w:val="false"/>
                <w:bCs w:val="false"/>
                <w:sz w:val="20"/>
                <w:szCs w:val="20"/>
              </w:rPr>
              <w:t xml:space="preserve">Average order value</w:t>
            </w:r>
          </w:p>
        </w:tc>
        <w:tc>
          <w:tcPr>
            <w:tcW w:type="dxa" w:w="4500"/>
          </w:tcPr>
          <w:p>
            <w:r>
              <w:rPr>
                <w:b w:val="false"/>
                <w:bCs w:val="false"/>
                <w:sz w:val="20"/>
                <w:szCs w:val="20"/>
              </w:rPr>
              <w:t xml:space="preserve">Rs. 15,127.42  (95% CI: Rs. 15,054 - Rs. 15,201)</w:t>
            </w:r>
          </w:p>
        </w:tc>
      </w:tr>
      <w:tr>
        <w:tc>
          <w:tcPr>
            <w:tcW w:type="dxa" w:w="4500"/>
          </w:tcPr>
          <w:p>
            <w:r>
              <w:rPr>
                <w:b w:val="false"/>
                <w:bCs w:val="false"/>
                <w:sz w:val="20"/>
                <w:szCs w:val="20"/>
              </w:rPr>
              <w:t xml:space="preserve">Average unit price</w:t>
            </w:r>
          </w:p>
        </w:tc>
        <w:tc>
          <w:tcPr>
            <w:tcW w:type="dxa" w:w="4500"/>
          </w:tcPr>
          <w:p>
            <w:r>
              <w:rPr>
                <w:b w:val="false"/>
                <w:bCs w:val="false"/>
                <w:sz w:val="20"/>
                <w:szCs w:val="20"/>
              </w:rPr>
              <w:t xml:space="preserve">Rs. 7,500.35</w:t>
            </w:r>
          </w:p>
        </w:tc>
      </w:tr>
      <w:tr>
        <w:tc>
          <w:tcPr>
            <w:tcW w:type="dxa" w:w="4500"/>
          </w:tcPr>
          <w:p>
            <w:r>
              <w:rPr>
                <w:b w:val="false"/>
                <w:bCs w:val="false"/>
                <w:sz w:val="20"/>
                <w:szCs w:val="20"/>
              </w:rPr>
              <w:t xml:space="preserve">Average quantity per order</w:t>
            </w:r>
          </w:p>
        </w:tc>
        <w:tc>
          <w:tcPr>
            <w:tcW w:type="dxa" w:w="4500"/>
          </w:tcPr>
          <w:p>
            <w:r>
              <w:rPr>
                <w:b w:val="false"/>
                <w:bCs w:val="false"/>
                <w:sz w:val="20"/>
                <w:szCs w:val="20"/>
              </w:rPr>
              <w:t xml:space="preserve">3.00 units</w:t>
            </w:r>
          </w:p>
        </w:tc>
      </w:tr>
      <w:tr>
        <w:tc>
          <w:tcPr>
            <w:tcW w:type="dxa" w:w="4500"/>
          </w:tcPr>
          <w:p>
            <w:r>
              <w:rPr>
                <w:b w:val="false"/>
                <w:bCs w:val="false"/>
                <w:sz w:val="20"/>
                <w:szCs w:val="20"/>
              </w:rPr>
              <w:t xml:space="preserve">Average rating (all orders)</w:t>
            </w:r>
          </w:p>
        </w:tc>
        <w:tc>
          <w:tcPr>
            <w:tcW w:type="dxa" w:w="4500"/>
          </w:tcPr>
          <w:p>
            <w:r>
              <w:rPr>
                <w:b w:val="false"/>
                <w:bCs w:val="false"/>
                <w:sz w:val="20"/>
                <w:szCs w:val="20"/>
              </w:rPr>
              <w:t xml:space="preserve">3.00 / 5</w:t>
            </w:r>
          </w:p>
        </w:tc>
      </w:tr>
    </w:tbl>
    <w:p>
      <w:pPr>
        <w:spacing w:after="120"/>
      </w:pPr>
      <w:r>
        <w:t xml:space="preserve"/>
      </w:r>
    </w:p>
    <w:p>
      <w:pPr>
        <w:pStyle w:val="Heading1"/>
        <w:spacing w:after="120" w:before="240"/>
      </w:pPr>
      <w:r>
        <w:t xml:space="preserve">2. Revenue Trend</w:t>
      </w:r>
    </w:p>
    <w:p>
      <w:pPr>
        <w:spacing w:after="80" w:before="120"/>
        <w:jc w:val="center"/>
      </w:pPr>
      <w:r>
        <w:drawing>
          <wp:inline distT="0" distB="0" distL="0" distR="0">
            <wp:extent cx="5334000" cy="2962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962275"/>
                    </a:xfrm>
                    <a:prstGeom prst="rect">
                      <a:avLst/>
                    </a:prstGeom>
                  </pic:spPr>
                </pic:pic>
              </a:graphicData>
            </a:graphic>
          </wp:inline>
        </w:drawing>
      </w:r>
    </w:p>
    <w:p>
      <w:pPr>
        <w:spacing w:after="200"/>
        <w:jc w:val="center"/>
      </w:pPr>
      <w:r>
        <w:rPr>
          <w:i/>
          <w:iCs/>
          <w:sz w:val="18"/>
          <w:szCs w:val="18"/>
        </w:rPr>
        <w:t xml:space="preserve">Fig 1. Monthly revenue, Jan 2024 - Jun 2026 (Jul 2026 excluded - partial month, only 1 day of data)</w:t>
      </w:r>
    </w:p>
    <w:p>
      <w:pPr>
        <w:spacing w:after="120"/>
      </w:pPr>
      <w:r>
        <w:t xml:space="preserve">Revenue oscillates in a tight band of roughly Rs.46M-Rs.53M per month with no sustained upward or downward trend across the 30 full months in the dataset. There are a couple of low months (Feb 2025, Feb 2026) which is consistent with February simply having fewer days, and a few high months around mid-year and year-start peaks, but nothing that rises to a statistically distinguishable seasonal pattern given the swings are within the normal month-to-month noise range.</w:t>
      </w:r>
    </w:p>
    <w:p>
      <w:pPr>
        <w:pStyle w:val="Heading1"/>
        <w:spacing w:after="120" w:before="240"/>
      </w:pPr>
      <w:r>
        <w:t xml:space="preserve">3. Revenue by Category</w:t>
      </w:r>
    </w:p>
    <w:p>
      <w:pPr>
        <w:spacing w:after="80" w:before="120"/>
        <w:jc w:val="center"/>
      </w:pPr>
      <w:r>
        <w:drawing>
          <wp:inline distT="0" distB="0" distL="0" distR="0">
            <wp:extent cx="5334000" cy="2962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962275"/>
                    </a:xfrm>
                    <a:prstGeom prst="rect">
                      <a:avLst/>
                    </a:prstGeom>
                  </pic:spPr>
                </pic:pic>
              </a:graphicData>
            </a:graphic>
          </wp:inline>
        </w:drawing>
      </w:r>
    </w:p>
    <w:p>
      <w:pPr>
        <w:spacing w:after="200"/>
        <w:jc w:val="center"/>
      </w:pPr>
      <w:r>
        <w:rPr>
          <w:i/>
          <w:iCs/>
          <w:sz w:val="18"/>
          <w:szCs w:val="18"/>
        </w:rPr>
        <w:t xml:space="preserve">Fig 2. Total revenue by product category</w:t>
      </w:r>
    </w:p>
    <w:p>
      <w:pPr>
        <w:spacing w:after="120"/>
      </w:pPr>
      <w:r>
        <w:t xml:space="preserve">Categories are within about 7% of each other (Rs.293.6M to Rs.314.3M) - Electronics leads narrowly, Clothing trails narrowly. Confirmed statistically in Section 6: this spread is not significant.</w:t>
      </w:r>
    </w:p>
    <w:p>
      <w:pPr>
        <w:pStyle w:val="Heading1"/>
        <w:spacing w:after="120" w:before="240"/>
      </w:pPr>
      <w:r>
        <w:t xml:space="preserve">4. Order Status Distribution</w:t>
      </w:r>
    </w:p>
    <w:p>
      <w:pPr>
        <w:spacing w:after="80" w:before="120"/>
        <w:jc w:val="center"/>
      </w:pPr>
      <w:r>
        <w:drawing>
          <wp:inline distT="0" distB="0" distL="0" distR="0">
            <wp:extent cx="5334000" cy="2962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962275"/>
                    </a:xfrm>
                    <a:prstGeom prst="rect">
                      <a:avLst/>
                    </a:prstGeom>
                  </pic:spPr>
                </pic:pic>
              </a:graphicData>
            </a:graphic>
          </wp:inline>
        </w:drawing>
      </w:r>
    </w:p>
    <w:p>
      <w:pPr>
        <w:spacing w:after="200"/>
        <w:jc w:val="center"/>
      </w:pPr>
      <w:r>
        <w:rPr>
          <w:i/>
          <w:iCs/>
          <w:sz w:val="18"/>
          <w:szCs w:val="18"/>
        </w:rPr>
        <w:t xml:space="preserve">Fig 3. Share of orders by fulfilment outcome</w:t>
      </w:r>
    </w:p>
    <w:p>
      <w:pPr>
        <w:spacing w:after="120"/>
      </w:pPr>
      <w:r>
        <w:t xml:space="preserve">Half of all orders (50.0%) reach Delivered status. The remaining half splits almost evenly across Shipped (16.9%), Returned (16.6%) and Cancelled (16.5%). A combined 33% return-or-cancel rate is high by typical e-commerce benchmarks (industry norms are often single digits to low teens) and is worth flagging to operations regardless of which category or payment method it comes from, since Section 6 shows it isn't concentrated in any one segment - it's a broad, systemic rate.</w:t>
      </w:r>
    </w:p>
    <w:p>
      <w:pPr>
        <w:pStyle w:val="Heading1"/>
        <w:spacing w:after="120" w:before="240"/>
      </w:pPr>
      <w:r>
        <w:t xml:space="preserve">5. Customer Purchase Behavior</w:t>
      </w:r>
    </w:p>
    <w:p>
      <w:pPr>
        <w:spacing w:after="80" w:before="120"/>
        <w:jc w:val="center"/>
      </w:pPr>
      <w:r>
        <w:drawing>
          <wp:inline distT="0" distB="0" distL="0" distR="0">
            <wp:extent cx="5334000" cy="2962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962275"/>
                    </a:xfrm>
                    <a:prstGeom prst="rect">
                      <a:avLst/>
                    </a:prstGeom>
                  </pic:spPr>
                </pic:pic>
              </a:graphicData>
            </a:graphic>
          </wp:inline>
        </w:drawing>
      </w:r>
    </w:p>
    <w:p>
      <w:pPr>
        <w:spacing w:after="200"/>
        <w:jc w:val="center"/>
      </w:pPr>
      <w:r>
        <w:rPr>
          <w:i/>
          <w:iCs/>
          <w:sz w:val="18"/>
          <w:szCs w:val="18"/>
        </w:rPr>
        <w:t xml:space="preserve">Fig 4. Distribution of number of orders placed per customer</w:t>
      </w:r>
    </w:p>
    <w:p>
      <w:pPr>
        <w:spacing w:after="120"/>
      </w:pPr>
      <w:r>
        <w:t xml:space="preserve">Most customers who order at all place between 3 and 5 orders; very few are true one-time buyers (7.5%) and a small tail places up to 15 orders. This is a healthy repeat-purchase shape - see Section 7 for the RFM view of who these repeat customers are.</w:t>
      </w:r>
    </w:p>
    <w:p>
      <w:pPr>
        <w:pStyle w:val="Heading1"/>
        <w:spacing w:after="120" w:before="240"/>
      </w:pPr>
      <w:r>
        <w:t xml:space="preserve">6. Hypothesis Tests</w:t>
      </w:r>
    </w:p>
    <w:p>
      <w:pPr>
        <w:spacing w:after="120"/>
      </w:pPr>
      <w:r>
        <w:t xml:space="preserve">Each test below checks whether an apparent difference in the data is likely to be real or just random noise, using a 5% significance threshold (p &lt; 0.05 = statistically significant).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600"/>
        <w:gridCol w:w="2700"/>
      </w:tblGrid>
      <w:tr>
        <w:tc>
          <w:tcPr>
            <w:tcW w:type="dxa" w:w="2600"/>
            <w:shd w:fill="2E5077" w:val="clear"/>
          </w:tcPr>
          <w:p>
            <w:r>
              <w:rPr>
                <w:b/>
                <w:bCs/>
                <w:color w:val="FFFFFF"/>
                <w:sz w:val="20"/>
                <w:szCs w:val="20"/>
              </w:rPr>
              <w:t xml:space="preserve">Question</w:t>
            </w:r>
          </w:p>
        </w:tc>
        <w:tc>
          <w:tcPr>
            <w:tcW w:type="dxa" w:w="1600"/>
            <w:shd w:fill="2E5077" w:val="clear"/>
          </w:tcPr>
          <w:p>
            <w:r>
              <w:rPr>
                <w:b/>
                <w:bCs/>
                <w:color w:val="FFFFFF"/>
                <w:sz w:val="20"/>
                <w:szCs w:val="20"/>
              </w:rPr>
              <w:t xml:space="preserve">Test</w:t>
            </w:r>
          </w:p>
        </w:tc>
        <w:tc>
          <w:tcPr>
            <w:tcW w:type="dxa" w:w="1600"/>
            <w:shd w:fill="2E5077" w:val="clear"/>
          </w:tcPr>
          <w:p>
            <w:r>
              <w:rPr>
                <w:b/>
                <w:bCs/>
                <w:color w:val="FFFFFF"/>
                <w:sz w:val="20"/>
                <w:szCs w:val="20"/>
              </w:rPr>
              <w:t xml:space="preserve">Result</w:t>
            </w:r>
          </w:p>
        </w:tc>
        <w:tc>
          <w:tcPr>
            <w:tcW w:type="dxa" w:w="2700"/>
            <w:shd w:fill="2E5077" w:val="clear"/>
          </w:tcPr>
          <w:p>
            <w:r>
              <w:rPr>
                <w:b/>
                <w:bCs/>
                <w:color w:val="FFFFFF"/>
                <w:sz w:val="20"/>
                <w:szCs w:val="20"/>
              </w:rPr>
              <w:t xml:space="preserve">Conclusion</w:t>
            </w:r>
          </w:p>
        </w:tc>
      </w:tr>
      <w:tr>
        <w:tc>
          <w:tcPr>
            <w:tcW w:type="dxa" w:w="2600"/>
          </w:tcPr>
          <w:p>
            <w:r>
              <w:rPr>
                <w:b w:val="false"/>
                <w:bCs w:val="false"/>
                <w:sz w:val="20"/>
                <w:szCs w:val="20"/>
              </w:rPr>
              <w:t xml:space="preserve">Does order value differ by customer segment (New/Returning/VIP)?</w:t>
            </w:r>
          </w:p>
        </w:tc>
        <w:tc>
          <w:tcPr>
            <w:tcW w:type="dxa" w:w="1600"/>
          </w:tcPr>
          <w:p>
            <w:r>
              <w:rPr>
                <w:b w:val="false"/>
                <w:bCs w:val="false"/>
                <w:sz w:val="20"/>
                <w:szCs w:val="20"/>
              </w:rPr>
              <w:t xml:space="preserve">One-way ANOVA</w:t>
            </w:r>
          </w:p>
        </w:tc>
        <w:tc>
          <w:tcPr>
            <w:tcW w:type="dxa" w:w="1600"/>
          </w:tcPr>
          <w:p>
            <w:r>
              <w:rPr>
                <w:b w:val="false"/>
                <w:bCs w:val="false"/>
                <w:sz w:val="20"/>
                <w:szCs w:val="20"/>
              </w:rPr>
              <w:t xml:space="preserve">F=0.89, p=0.41</w:t>
            </w:r>
          </w:p>
        </w:tc>
        <w:tc>
          <w:tcPr>
            <w:tcW w:type="dxa" w:w="2700"/>
          </w:tcPr>
          <w:p>
            <w:r>
              <w:rPr>
                <w:b w:val="false"/>
                <w:bCs w:val="false"/>
                <w:sz w:val="20"/>
                <w:szCs w:val="20"/>
              </w:rPr>
              <w:t xml:space="preserve">Not significant - segments spend the same on average</w:t>
            </w:r>
          </w:p>
        </w:tc>
      </w:tr>
      <w:tr>
        <w:tc>
          <w:tcPr>
            <w:tcW w:type="dxa" w:w="2600"/>
          </w:tcPr>
          <w:p>
            <w:r>
              <w:rPr>
                <w:b w:val="false"/>
                <w:bCs w:val="false"/>
                <w:sz w:val="20"/>
                <w:szCs w:val="20"/>
              </w:rPr>
              <w:t xml:space="preserve">Does order value differ by product category?</w:t>
            </w:r>
          </w:p>
        </w:tc>
        <w:tc>
          <w:tcPr>
            <w:tcW w:type="dxa" w:w="1600"/>
          </w:tcPr>
          <w:p>
            <w:r>
              <w:rPr>
                <w:b w:val="false"/>
                <w:bCs w:val="false"/>
                <w:sz w:val="20"/>
                <w:szCs w:val="20"/>
              </w:rPr>
              <w:t xml:space="preserve">One-way ANOVA</w:t>
            </w:r>
          </w:p>
        </w:tc>
        <w:tc>
          <w:tcPr>
            <w:tcW w:type="dxa" w:w="1600"/>
          </w:tcPr>
          <w:p>
            <w:r>
              <w:rPr>
                <w:b w:val="false"/>
                <w:bCs w:val="false"/>
                <w:sz w:val="20"/>
                <w:szCs w:val="20"/>
              </w:rPr>
              <w:t xml:space="preserve">F=0.98, p=0.41</w:t>
            </w:r>
          </w:p>
        </w:tc>
        <w:tc>
          <w:tcPr>
            <w:tcW w:type="dxa" w:w="2700"/>
          </w:tcPr>
          <w:p>
            <w:r>
              <w:rPr>
                <w:b w:val="false"/>
                <w:bCs w:val="false"/>
                <w:sz w:val="20"/>
                <w:szCs w:val="20"/>
              </w:rPr>
              <w:t xml:space="preserve">Not significant - categories earn similar order values</w:t>
            </w:r>
          </w:p>
        </w:tc>
      </w:tr>
      <w:tr>
        <w:tc>
          <w:tcPr>
            <w:tcW w:type="dxa" w:w="2600"/>
          </w:tcPr>
          <w:p>
            <w:r>
              <w:rPr>
                <w:b w:val="false"/>
                <w:bCs w:val="false"/>
                <w:sz w:val="20"/>
                <w:szCs w:val="20"/>
              </w:rPr>
              <w:t xml:space="preserve">Is fulfilment outcome linked to category?</w:t>
            </w:r>
          </w:p>
        </w:tc>
        <w:tc>
          <w:tcPr>
            <w:tcW w:type="dxa" w:w="1600"/>
          </w:tcPr>
          <w:p>
            <w:r>
              <w:rPr>
                <w:b w:val="false"/>
                <w:bCs w:val="false"/>
                <w:sz w:val="20"/>
                <w:szCs w:val="20"/>
              </w:rPr>
              <w:t xml:space="preserve">Chi-square</w:t>
            </w:r>
          </w:p>
        </w:tc>
        <w:tc>
          <w:tcPr>
            <w:tcW w:type="dxa" w:w="1600"/>
          </w:tcPr>
          <w:p>
            <w:r>
              <w:rPr>
                <w:b w:val="false"/>
                <w:bCs w:val="false"/>
                <w:sz w:val="20"/>
                <w:szCs w:val="20"/>
              </w:rPr>
              <w:t xml:space="preserve">chi2=14.15, p=0.29</w:t>
            </w:r>
          </w:p>
        </w:tc>
        <w:tc>
          <w:tcPr>
            <w:tcW w:type="dxa" w:w="2700"/>
          </w:tcPr>
          <w:p>
            <w:r>
              <w:rPr>
                <w:b w:val="false"/>
                <w:bCs w:val="false"/>
                <w:sz w:val="20"/>
                <w:szCs w:val="20"/>
              </w:rPr>
              <w:t xml:space="preserve">Independent - no category drives more returns/cancellations</w:t>
            </w:r>
          </w:p>
        </w:tc>
      </w:tr>
      <w:tr>
        <w:tc>
          <w:tcPr>
            <w:tcW w:type="dxa" w:w="2600"/>
          </w:tcPr>
          <w:p>
            <w:r>
              <w:rPr>
                <w:b w:val="false"/>
                <w:bCs w:val="false"/>
                <w:sz w:val="20"/>
                <w:szCs w:val="20"/>
              </w:rPr>
              <w:t xml:space="preserve">Is fulfilment outcome linked to payment method?</w:t>
            </w:r>
          </w:p>
        </w:tc>
        <w:tc>
          <w:tcPr>
            <w:tcW w:type="dxa" w:w="1600"/>
          </w:tcPr>
          <w:p>
            <w:r>
              <w:rPr>
                <w:b w:val="false"/>
                <w:bCs w:val="false"/>
                <w:sz w:val="20"/>
                <w:szCs w:val="20"/>
              </w:rPr>
              <w:t xml:space="preserve">Chi-square</w:t>
            </w:r>
          </w:p>
        </w:tc>
        <w:tc>
          <w:tcPr>
            <w:tcW w:type="dxa" w:w="1600"/>
          </w:tcPr>
          <w:p>
            <w:r>
              <w:rPr>
                <w:b w:val="false"/>
                <w:bCs w:val="false"/>
                <w:sz w:val="20"/>
                <w:szCs w:val="20"/>
              </w:rPr>
              <w:t xml:space="preserve">chi2=4.24, p=0.98</w:t>
            </w:r>
          </w:p>
        </w:tc>
        <w:tc>
          <w:tcPr>
            <w:tcW w:type="dxa" w:w="2700"/>
          </w:tcPr>
          <w:p>
            <w:r>
              <w:rPr>
                <w:b w:val="false"/>
                <w:bCs w:val="false"/>
                <w:sz w:val="20"/>
                <w:szCs w:val="20"/>
              </w:rPr>
              <w:t xml:space="preserve">Independent - payment method doesn't predict returns/cancellations</w:t>
            </w:r>
          </w:p>
        </w:tc>
      </w:tr>
      <w:tr>
        <w:tc>
          <w:tcPr>
            <w:tcW w:type="dxa" w:w="2600"/>
          </w:tcPr>
          <w:p>
            <w:r>
              <w:rPr>
                <w:b w:val="false"/>
                <w:bCs w:val="false"/>
                <w:sz w:val="20"/>
                <w:szCs w:val="20"/>
              </w:rPr>
              <w:t xml:space="preserve">Does price correlate with rating?</w:t>
            </w:r>
          </w:p>
        </w:tc>
        <w:tc>
          <w:tcPr>
            <w:tcW w:type="dxa" w:w="1600"/>
          </w:tcPr>
          <w:p>
            <w:r>
              <w:rPr>
                <w:b w:val="false"/>
                <w:bCs w:val="false"/>
                <w:sz w:val="20"/>
                <w:szCs w:val="20"/>
              </w:rPr>
              <w:t xml:space="preserve">Pearson correlation</w:t>
            </w:r>
          </w:p>
        </w:tc>
        <w:tc>
          <w:tcPr>
            <w:tcW w:type="dxa" w:w="1600"/>
          </w:tcPr>
          <w:p>
            <w:r>
              <w:rPr>
                <w:b w:val="false"/>
                <w:bCs w:val="false"/>
                <w:sz w:val="20"/>
                <w:szCs w:val="20"/>
              </w:rPr>
              <w:t xml:space="preserve">r=0.008, p=0.09</w:t>
            </w:r>
          </w:p>
        </w:tc>
        <w:tc>
          <w:tcPr>
            <w:tcW w:type="dxa" w:w="2700"/>
          </w:tcPr>
          <w:p>
            <w:r>
              <w:rPr>
                <w:b w:val="false"/>
                <w:bCs w:val="false"/>
                <w:sz w:val="20"/>
                <w:szCs w:val="20"/>
              </w:rPr>
              <w:t xml:space="preserve">No correlation - price does not drive satisfaction scores</w:t>
            </w:r>
          </w:p>
        </w:tc>
      </w:tr>
    </w:tbl>
    <w:p>
      <w:pPr>
        <w:spacing w:after="120"/>
      </w:pPr>
      <w:r>
        <w:t xml:space="preserve"/>
      </w:r>
    </w:p>
    <w:p>
      <w:pPr>
        <w:spacing w:after="120"/>
      </w:pPr>
      <w:r>
        <w:t xml:space="preserve">Taken together, these tests say the differences visible in the bar charts (Section 3, Section 4) are within normal sampling variation, not real business effects. That is itself a useful, if less dramatic, finding - see Business Insights Report for what to do with it.</w:t>
      </w:r>
    </w:p>
    <w:p>
      <w:pPr>
        <w:pStyle w:val="Heading1"/>
        <w:spacing w:after="120" w:before="240"/>
      </w:pPr>
      <w:r>
        <w:t xml:space="preserve">7. RFM Customer Segmentation</w:t>
      </w:r>
    </w:p>
    <w:p>
      <w:pPr>
        <w:spacing w:after="120"/>
      </w:pPr>
      <w:r>
        <w:t xml:space="preserve">Every customer who has placed at least one order was scored on Recency (days since last order), Frequency (order count) and Monetary value (total spend), each split into quartiles, then combined into five segments.</w:t>
      </w:r>
    </w:p>
    <w:p>
      <w:pPr>
        <w:spacing w:after="80" w:before="120"/>
        <w:jc w:val="center"/>
      </w:pPr>
      <w:r>
        <w:drawing>
          <wp:inline distT="0" distB="0" distL="0" distR="0">
            <wp:extent cx="5334000" cy="2962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962275"/>
                    </a:xfrm>
                    <a:prstGeom prst="rect">
                      <a:avLst/>
                    </a:prstGeom>
                  </pic:spPr>
                </pic:pic>
              </a:graphicData>
            </a:graphic>
          </wp:inline>
        </w:drawing>
      </w:r>
    </w:p>
    <w:p>
      <w:pPr>
        <w:spacing w:after="200"/>
        <w:jc w:val="center"/>
      </w:pPr>
      <w:r>
        <w:rPr>
          <w:i/>
          <w:iCs/>
          <w:sz w:val="18"/>
          <w:szCs w:val="18"/>
        </w:rPr>
        <w:t xml:space="preserve">Fig 5. Total revenue contributed by each RFM segment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3000"/>
        <w:gridCol w:w="2000"/>
      </w:tblGrid>
      <w:tr>
        <w:tc>
          <w:tcPr>
            <w:tcW w:type="dxa" w:w="2000"/>
            <w:shd w:fill="2E5077" w:val="clear"/>
          </w:tcPr>
          <w:p>
            <w:r>
              <w:rPr>
                <w:b/>
                <w:bCs/>
                <w:color w:val="FFFFFF"/>
                <w:sz w:val="20"/>
                <w:szCs w:val="20"/>
              </w:rPr>
              <w:t xml:space="preserve">Segment</w:t>
            </w:r>
          </w:p>
        </w:tc>
        <w:tc>
          <w:tcPr>
            <w:tcW w:type="dxa" w:w="2000"/>
            <w:shd w:fill="2E5077" w:val="clear"/>
          </w:tcPr>
          <w:p>
            <w:r>
              <w:rPr>
                <w:b/>
                <w:bCs/>
                <w:color w:val="FFFFFF"/>
                <w:sz w:val="20"/>
                <w:szCs w:val="20"/>
              </w:rPr>
              <w:t xml:space="preserve">Customers</w:t>
            </w:r>
          </w:p>
        </w:tc>
        <w:tc>
          <w:tcPr>
            <w:tcW w:type="dxa" w:w="3000"/>
            <w:shd w:fill="2E5077" w:val="clear"/>
          </w:tcPr>
          <w:p>
            <w:r>
              <w:rPr>
                <w:b/>
                <w:bCs/>
                <w:color w:val="FFFFFF"/>
                <w:sz w:val="20"/>
                <w:szCs w:val="20"/>
              </w:rPr>
              <w:t xml:space="preserve">Revenue</w:t>
            </w:r>
          </w:p>
        </w:tc>
        <w:tc>
          <w:tcPr>
            <w:tcW w:type="dxa" w:w="2000"/>
            <w:shd w:fill="2E5077" w:val="clear"/>
          </w:tcPr>
          <w:p>
            <w:r>
              <w:rPr>
                <w:b/>
                <w:bCs/>
                <w:color w:val="FFFFFF"/>
                <w:sz w:val="20"/>
                <w:szCs w:val="20"/>
              </w:rPr>
              <w:t xml:space="preserve">% of Revenue</w:t>
            </w:r>
          </w:p>
        </w:tc>
      </w:tr>
      <w:tr>
        <w:tc>
          <w:tcPr>
            <w:tcW w:type="dxa" w:w="2000"/>
          </w:tcPr>
          <w:p>
            <w:r>
              <w:rPr>
                <w:b w:val="false"/>
                <w:bCs w:val="false"/>
                <w:sz w:val="20"/>
                <w:szCs w:val="20"/>
              </w:rPr>
              <w:t xml:space="preserve">Champions</w:t>
            </w:r>
          </w:p>
        </w:tc>
        <w:tc>
          <w:tcPr>
            <w:tcW w:type="dxa" w:w="2000"/>
          </w:tcPr>
          <w:p>
            <w:r>
              <w:rPr>
                <w:b w:val="false"/>
                <w:bCs w:val="false"/>
                <w:sz w:val="20"/>
                <w:szCs w:val="20"/>
              </w:rPr>
              <w:t xml:space="preserve">6,726</w:t>
            </w:r>
          </w:p>
        </w:tc>
        <w:tc>
          <w:tcPr>
            <w:tcW w:type="dxa" w:w="3000"/>
          </w:tcPr>
          <w:p>
            <w:r>
              <w:rPr>
                <w:b w:val="false"/>
                <w:bCs w:val="false"/>
                <w:sz w:val="20"/>
                <w:szCs w:val="20"/>
              </w:rPr>
              <w:t xml:space="preserve">Rs. 693,932,892</w:t>
            </w:r>
          </w:p>
        </w:tc>
        <w:tc>
          <w:tcPr>
            <w:tcW w:type="dxa" w:w="2000"/>
          </w:tcPr>
          <w:p>
            <w:r>
              <w:rPr>
                <w:b w:val="false"/>
                <w:bCs w:val="false"/>
                <w:sz w:val="20"/>
                <w:szCs w:val="20"/>
              </w:rPr>
              <w:t xml:space="preserve">45.9%</w:t>
            </w:r>
          </w:p>
        </w:tc>
      </w:tr>
      <w:tr>
        <w:tc>
          <w:tcPr>
            <w:tcW w:type="dxa" w:w="2000"/>
          </w:tcPr>
          <w:p>
            <w:r>
              <w:rPr>
                <w:b w:val="false"/>
                <w:bCs w:val="false"/>
                <w:sz w:val="20"/>
                <w:szCs w:val="20"/>
              </w:rPr>
              <w:t xml:space="preserve">Loyal</w:t>
            </w:r>
          </w:p>
        </w:tc>
        <w:tc>
          <w:tcPr>
            <w:tcW w:type="dxa" w:w="2000"/>
          </w:tcPr>
          <w:p>
            <w:r>
              <w:rPr>
                <w:b w:val="false"/>
                <w:bCs w:val="false"/>
                <w:sz w:val="20"/>
                <w:szCs w:val="20"/>
              </w:rPr>
              <w:t xml:space="preserve">5,854</w:t>
            </w:r>
          </w:p>
        </w:tc>
        <w:tc>
          <w:tcPr>
            <w:tcW w:type="dxa" w:w="3000"/>
          </w:tcPr>
          <w:p>
            <w:r>
              <w:rPr>
                <w:b w:val="false"/>
                <w:bCs w:val="false"/>
                <w:sz w:val="20"/>
                <w:szCs w:val="20"/>
              </w:rPr>
              <w:t xml:space="preserve">Rs. 398,922,242</w:t>
            </w:r>
          </w:p>
        </w:tc>
        <w:tc>
          <w:tcPr>
            <w:tcW w:type="dxa" w:w="2000"/>
          </w:tcPr>
          <w:p>
            <w:r>
              <w:rPr>
                <w:b w:val="false"/>
                <w:bCs w:val="false"/>
                <w:sz w:val="20"/>
                <w:szCs w:val="20"/>
              </w:rPr>
              <w:t xml:space="preserve">26.4%</w:t>
            </w:r>
          </w:p>
        </w:tc>
      </w:tr>
      <w:tr>
        <w:tc>
          <w:tcPr>
            <w:tcW w:type="dxa" w:w="2000"/>
          </w:tcPr>
          <w:p>
            <w:r>
              <w:rPr>
                <w:b w:val="false"/>
                <w:bCs w:val="false"/>
                <w:sz w:val="20"/>
                <w:szCs w:val="20"/>
              </w:rPr>
              <w:t xml:space="preserve">Potential</w:t>
            </w:r>
          </w:p>
        </w:tc>
        <w:tc>
          <w:tcPr>
            <w:tcW w:type="dxa" w:w="2000"/>
          </w:tcPr>
          <w:p>
            <w:r>
              <w:rPr>
                <w:b w:val="false"/>
                <w:bCs w:val="false"/>
                <w:sz w:val="20"/>
                <w:szCs w:val="20"/>
              </w:rPr>
              <w:t xml:space="preserve">5,424</w:t>
            </w:r>
          </w:p>
        </w:tc>
        <w:tc>
          <w:tcPr>
            <w:tcW w:type="dxa" w:w="3000"/>
          </w:tcPr>
          <w:p>
            <w:r>
              <w:rPr>
                <w:b w:val="false"/>
                <w:bCs w:val="false"/>
                <w:sz w:val="20"/>
                <w:szCs w:val="20"/>
              </w:rPr>
              <w:t xml:space="preserve">Rs. 250,232,865</w:t>
            </w:r>
          </w:p>
        </w:tc>
        <w:tc>
          <w:tcPr>
            <w:tcW w:type="dxa" w:w="2000"/>
          </w:tcPr>
          <w:p>
            <w:r>
              <w:rPr>
                <w:b w:val="false"/>
                <w:bCs w:val="false"/>
                <w:sz w:val="20"/>
                <w:szCs w:val="20"/>
              </w:rPr>
              <w:t xml:space="preserve">16.5%</w:t>
            </w:r>
          </w:p>
        </w:tc>
      </w:tr>
      <w:tr>
        <w:tc>
          <w:tcPr>
            <w:tcW w:type="dxa" w:w="2000"/>
          </w:tcPr>
          <w:p>
            <w:r>
              <w:rPr>
                <w:b w:val="false"/>
                <w:bCs w:val="false"/>
                <w:sz w:val="20"/>
                <w:szCs w:val="20"/>
              </w:rPr>
              <w:t xml:space="preserve">At Risk</w:t>
            </w:r>
          </w:p>
        </w:tc>
        <w:tc>
          <w:tcPr>
            <w:tcW w:type="dxa" w:w="2000"/>
          </w:tcPr>
          <w:p>
            <w:r>
              <w:rPr>
                <w:b w:val="false"/>
                <w:bCs w:val="false"/>
                <w:sz w:val="20"/>
                <w:szCs w:val="20"/>
              </w:rPr>
              <w:t xml:space="preserve">4,338</w:t>
            </w:r>
          </w:p>
        </w:tc>
        <w:tc>
          <w:tcPr>
            <w:tcW w:type="dxa" w:w="3000"/>
          </w:tcPr>
          <w:p>
            <w:r>
              <w:rPr>
                <w:b w:val="false"/>
                <w:bCs w:val="false"/>
                <w:sz w:val="20"/>
                <w:szCs w:val="20"/>
              </w:rPr>
              <w:t xml:space="preserve">Rs. 135,454,417</w:t>
            </w:r>
          </w:p>
        </w:tc>
        <w:tc>
          <w:tcPr>
            <w:tcW w:type="dxa" w:w="2000"/>
          </w:tcPr>
          <w:p>
            <w:r>
              <w:rPr>
                <w:b w:val="false"/>
                <w:bCs w:val="false"/>
                <w:sz w:val="20"/>
                <w:szCs w:val="20"/>
              </w:rPr>
              <w:t xml:space="preserve">9.0%</w:t>
            </w:r>
          </w:p>
        </w:tc>
      </w:tr>
      <w:tr>
        <w:tc>
          <w:tcPr>
            <w:tcW w:type="dxa" w:w="2000"/>
          </w:tcPr>
          <w:p>
            <w:r>
              <w:rPr>
                <w:b w:val="false"/>
                <w:bCs w:val="false"/>
                <w:sz w:val="20"/>
                <w:szCs w:val="20"/>
              </w:rPr>
              <w:t xml:space="preserve">Lost</w:t>
            </w:r>
          </w:p>
        </w:tc>
        <w:tc>
          <w:tcPr>
            <w:tcW w:type="dxa" w:w="2000"/>
          </w:tcPr>
          <w:p>
            <w:r>
              <w:rPr>
                <w:b w:val="false"/>
                <w:bCs w:val="false"/>
                <w:sz w:val="20"/>
                <w:szCs w:val="20"/>
              </w:rPr>
              <w:t xml:space="preserve">2,192</w:t>
            </w:r>
          </w:p>
        </w:tc>
        <w:tc>
          <w:tcPr>
            <w:tcW w:type="dxa" w:w="3000"/>
          </w:tcPr>
          <w:p>
            <w:r>
              <w:rPr>
                <w:b w:val="false"/>
                <w:bCs w:val="false"/>
                <w:sz w:val="20"/>
                <w:szCs w:val="20"/>
              </w:rPr>
              <w:t xml:space="preserve">Rs. 34,199,509</w:t>
            </w:r>
          </w:p>
        </w:tc>
        <w:tc>
          <w:tcPr>
            <w:tcW w:type="dxa" w:w="2000"/>
          </w:tcPr>
          <w:p>
            <w:r>
              <w:rPr>
                <w:b w:val="false"/>
                <w:bCs w:val="false"/>
                <w:sz w:val="20"/>
                <w:szCs w:val="20"/>
              </w:rPr>
              <w:t xml:space="preserve">2.3%</w:t>
            </w:r>
          </w:p>
        </w:tc>
      </w:tr>
    </w:tbl>
    <w:p>
      <w:pPr>
        <w:spacing w:after="120"/>
      </w:pPr>
      <w:r>
        <w:t xml:space="preserve"/>
      </w:r>
    </w:p>
    <w:p>
      <w:pPr>
        <w:spacing w:after="120"/>
      </w:pPr>
      <w:r>
        <w:t xml:space="preserve">27.4% of active customers (Champions) generate 45.9% of all revenue - a real, meaningful concentration, unlike the flat segment/category splits in Section 6. This is the segmentation that should drive retention and marketing spend, not the CustomerSegment column (New/Returning/VIP) that ships with the raw data, since Section 6 shows that field has no measurable relationship with spend.</w:t>
      </w:r>
    </w:p>
    <w:p>
      <w:pPr>
        <w:pStyle w:val="Heading1"/>
        <w:spacing w:after="120" w:before="240"/>
      </w:pPr>
      <w:r>
        <w:t xml:space="preserve">8. Return / Cancellation Pattern Check</w:t>
      </w:r>
    </w:p>
    <w:p>
      <w:pPr>
        <w:spacing w:after="80" w:before="120"/>
        <w:jc w:val="center"/>
      </w:pPr>
      <w:r>
        <w:drawing>
          <wp:inline distT="0" distB="0" distL="0" distR="0">
            <wp:extent cx="5334000" cy="2962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962275"/>
                    </a:xfrm>
                    <a:prstGeom prst="rect">
                      <a:avLst/>
                    </a:prstGeom>
                  </pic:spPr>
                </pic:pic>
              </a:graphicData>
            </a:graphic>
          </wp:inline>
        </w:drawing>
      </w:r>
    </w:p>
    <w:p>
      <w:pPr>
        <w:spacing w:after="200"/>
        <w:jc w:val="center"/>
      </w:pPr>
      <w:r>
        <w:rPr>
          <w:i/>
          <w:iCs/>
          <w:sz w:val="18"/>
          <w:szCs w:val="18"/>
        </w:rPr>
        <w:t xml:space="preserve">Fig 6. Return and cancellation rate by category</w:t>
      </w:r>
    </w:p>
    <w:p>
      <w:pPr>
        <w:spacing w:after="120"/>
      </w:pPr>
      <w:r>
        <w:t xml:space="preserve">Consistent with the chi-square result in Section 6, return and cancellation rates hover in a narrow 16-17% band across every category. There is no single problem category to target - if returns/cancellations are to be reduced, the fix needs to be operational (packaging, delivery reliability, fraud/COD friction) rather than category-specific.</w:t>
      </w:r>
    </w:p>
    <w:p>
      <w:pPr>
        <w:pStyle w:val="Heading1"/>
        <w:spacing w:after="120" w:before="240"/>
      </w:pPr>
      <w:r>
        <w:t xml:space="preserve">9. Methodology Notes</w:t>
      </w:r>
    </w:p>
    <w:p>
      <w:pPr>
        <w:pStyle w:val="ListParagraph"/>
        <w:numPr>
          <w:ilvl w:val="0"/>
          <w:numId w:val="1"/>
        </w:numPr>
        <w:spacing w:after="60"/>
      </w:pPr>
      <w:r>
        <w:t xml:space="preserve">All monetary figures use the cleaned Orders table (see Data Quality Report for handling of the OrderValue vs. computed-value discrepancy).</w:t>
      </w:r>
    </w:p>
    <w:p>
      <w:pPr>
        <w:pStyle w:val="ListParagraph"/>
        <w:numPr>
          <w:ilvl w:val="0"/>
          <w:numId w:val="1"/>
        </w:numPr>
        <w:spacing w:after="60"/>
      </w:pPr>
      <w:r>
        <w:t xml:space="preserve">Rating-based analysis, where relevant, is restricted to Delivered orders (IsDeliveredRating = 'Y') per the data-quality decision.</w:t>
      </w:r>
    </w:p>
    <w:p>
      <w:pPr>
        <w:pStyle w:val="ListParagraph"/>
        <w:numPr>
          <w:ilvl w:val="0"/>
          <w:numId w:val="1"/>
        </w:numPr>
        <w:spacing w:after="60"/>
      </w:pPr>
      <w:r>
        <w:t xml:space="preserve">The partial final month (Jul 2026) is excluded from all trend and growth calculations.</w:t>
      </w:r>
    </w:p>
    <w:p>
      <w:pPr>
        <w:pStyle w:val="ListParagraph"/>
        <w:numPr>
          <w:ilvl w:val="0"/>
          <w:numId w:val="1"/>
        </w:numPr>
        <w:spacing w:after="60"/>
      </w:pPr>
      <w:r>
        <w:t xml:space="preserve">Significance threshold used throughout: alpha = 0.05.</w:t>
      </w:r>
    </w:p>
    <w:p>
      <w:pPr>
        <w:pStyle w:val="ListParagraph"/>
        <w:numPr>
          <w:ilvl w:val="0"/>
          <w:numId w:val="1"/>
        </w:numPr>
        <w:spacing w:after="60"/>
      </w:pPr>
      <w:r>
        <w:t xml:space="preserve">Full code: python_analysis.py (pandas, scipy.stats, matplotlib).</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594c835493b242b0b084c6c04cc4c9dca4ff5d6.png"/><Relationship Id="rId8" Type="http://schemas.openxmlformats.org/officeDocument/2006/relationships/image" Target="media/c8b5e02cd8b68457a34c855089fa70a99e879085.png"/><Relationship Id="rId9" Type="http://schemas.openxmlformats.org/officeDocument/2006/relationships/image" Target="media/39456e643ee4dbefb03d1653f840c2592736bc4c.png"/><Relationship Id="rId10" Type="http://schemas.openxmlformats.org/officeDocument/2006/relationships/image" Target="media/33c69466ca96fe20a8d3f50f6d0f80382aebcdc2.png"/><Relationship Id="rId11" Type="http://schemas.openxmlformats.org/officeDocument/2006/relationships/image" Target="media/812c00a646e703f373af5b84c947f4bff8b77521.png"/><Relationship Id="rId12" Type="http://schemas.openxmlformats.org/officeDocument/2006/relationships/image" Target="media/65074e91b3a85db16f4f8d94f51e5b931048c33e.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2026-09-07T08:29:17.608Z</dcterms:created>
  <dcterms:modified xsi:type="dcterms:W3CDTF">2026-09-07T08:29:17.609Z</dcterms:modified>
</cp:coreProperties>
</file>

<file path=docProps/custom.xml><?xml version="1.0" encoding="utf-8"?>
<Properties xmlns="http://schemas.openxmlformats.org/officeDocument/2006/custom-properties" xmlns:vt="http://schemas.openxmlformats.org/officeDocument/2006/docPropsVTypes"/>
</file>