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C99" w:rsidRDefault="00C62C99" w:rsidP="00166536"/>
    <w:p w:rsidR="00C62C99" w:rsidRDefault="00C62C99" w:rsidP="001950C5">
      <w:pPr>
        <w:rPr>
          <w:sz w:val="18"/>
          <w:szCs w:val="18"/>
        </w:rPr>
      </w:pPr>
    </w:p>
    <w:p w:rsidR="007C24FF" w:rsidRPr="00A86D00" w:rsidRDefault="007C24FF" w:rsidP="001950C5">
      <w:pPr>
        <w:rPr>
          <w:sz w:val="18"/>
          <w:szCs w:val="18"/>
        </w:rPr>
      </w:pPr>
    </w:p>
    <w:p w:rsidR="00226D10" w:rsidRPr="00B20CC9" w:rsidRDefault="00226D10" w:rsidP="001950C5">
      <w:pPr>
        <w:rPr>
          <w:sz w:val="8"/>
          <w:szCs w:val="8"/>
        </w:rPr>
      </w:pPr>
    </w:p>
    <w:p w:rsidR="0056255C" w:rsidRDefault="0056255C" w:rsidP="001950C5"/>
    <w:p w:rsidR="00624AED" w:rsidRPr="00624AED" w:rsidRDefault="00624AED" w:rsidP="001950C5">
      <w:pPr>
        <w:rPr>
          <w:sz w:val="2"/>
          <w:szCs w:val="2"/>
        </w:rPr>
      </w:pPr>
    </w:p>
    <w:tbl>
      <w:tblPr>
        <w:tblW w:w="7054" w:type="dxa"/>
        <w:tblLayout w:type="fixed"/>
        <w:tblLook w:val="01E0"/>
      </w:tblPr>
      <w:tblGrid>
        <w:gridCol w:w="648"/>
        <w:gridCol w:w="2976"/>
        <w:gridCol w:w="1827"/>
        <w:gridCol w:w="1603"/>
      </w:tblGrid>
      <w:tr w:rsidR="00E028FF" w:rsidRPr="00EF4A18" w:rsidTr="008B2CA8">
        <w:trPr>
          <w:trHeight w:val="651"/>
        </w:trPr>
        <w:tc>
          <w:tcPr>
            <w:tcW w:w="648" w:type="dxa"/>
          </w:tcPr>
          <w:p w:rsidR="00E028FF" w:rsidRPr="00EF4A18" w:rsidRDefault="00E028FF" w:rsidP="00411DB0">
            <w:pPr>
              <w:numPr>
                <w:ilvl w:val="0"/>
                <w:numId w:val="3"/>
              </w:numPr>
              <w:autoSpaceDE/>
              <w:autoSpaceDN/>
              <w:spacing w:after="100" w:line="276" w:lineRule="auto"/>
              <w:jc w:val="center"/>
            </w:pPr>
          </w:p>
        </w:tc>
        <w:tc>
          <w:tcPr>
            <w:tcW w:w="2976" w:type="dxa"/>
          </w:tcPr>
          <w:p w:rsidR="00E028FF" w:rsidRPr="00EF4A18" w:rsidRDefault="008B2CA8" w:rsidP="00411DB0">
            <w:pPr>
              <w:spacing w:after="100"/>
              <w:ind w:left="-81"/>
            </w:pPr>
            <w:r>
              <w:t>Методологические подходы управления техносферной безопасностью</w:t>
            </w:r>
          </w:p>
        </w:tc>
        <w:tc>
          <w:tcPr>
            <w:tcW w:w="1827" w:type="dxa"/>
          </w:tcPr>
          <w:p w:rsidR="00E028FF" w:rsidRPr="00EF4A18" w:rsidRDefault="008B2CA8" w:rsidP="00411DB0">
            <w:pPr>
              <w:spacing w:after="100"/>
              <w:jc w:val="center"/>
            </w:pPr>
            <w:r>
              <w:t>24</w:t>
            </w:r>
          </w:p>
        </w:tc>
        <w:tc>
          <w:tcPr>
            <w:tcW w:w="1603" w:type="dxa"/>
          </w:tcPr>
          <w:p w:rsidR="00E028FF" w:rsidRPr="00EF4A18" w:rsidRDefault="008B2CA8" w:rsidP="00411DB0">
            <w:pPr>
              <w:spacing w:after="100"/>
              <w:jc w:val="center"/>
            </w:pPr>
            <w:r>
              <w:t>зачтено</w:t>
            </w:r>
          </w:p>
        </w:tc>
      </w:tr>
      <w:tr w:rsidR="00084E57" w:rsidRPr="00EF4A18" w:rsidTr="008B2CA8">
        <w:trPr>
          <w:trHeight w:val="198"/>
        </w:trPr>
        <w:tc>
          <w:tcPr>
            <w:tcW w:w="648" w:type="dxa"/>
          </w:tcPr>
          <w:p w:rsidR="00084E57" w:rsidRPr="00EF4A18" w:rsidRDefault="00084E57" w:rsidP="00411DB0">
            <w:pPr>
              <w:numPr>
                <w:ilvl w:val="0"/>
                <w:numId w:val="3"/>
              </w:numPr>
              <w:autoSpaceDE/>
              <w:autoSpaceDN/>
              <w:spacing w:after="100" w:line="276" w:lineRule="auto"/>
              <w:jc w:val="center"/>
            </w:pPr>
          </w:p>
        </w:tc>
        <w:tc>
          <w:tcPr>
            <w:tcW w:w="2976" w:type="dxa"/>
          </w:tcPr>
          <w:p w:rsidR="00084E57" w:rsidRPr="00EF4A18" w:rsidRDefault="008B2CA8" w:rsidP="00411DB0">
            <w:pPr>
              <w:spacing w:after="100"/>
              <w:ind w:left="-81"/>
            </w:pPr>
            <w:r>
              <w:t>Гигиена труда</w:t>
            </w:r>
          </w:p>
        </w:tc>
        <w:tc>
          <w:tcPr>
            <w:tcW w:w="1827" w:type="dxa"/>
          </w:tcPr>
          <w:p w:rsidR="00084E57" w:rsidRPr="00EF4A18" w:rsidRDefault="008B2CA8" w:rsidP="00411DB0">
            <w:pPr>
              <w:spacing w:after="100"/>
              <w:jc w:val="center"/>
            </w:pPr>
            <w:r>
              <w:t>26</w:t>
            </w:r>
          </w:p>
        </w:tc>
        <w:tc>
          <w:tcPr>
            <w:tcW w:w="1603" w:type="dxa"/>
          </w:tcPr>
          <w:p w:rsidR="00084E57" w:rsidRPr="00EF4A18" w:rsidRDefault="00424DD8" w:rsidP="00411DB0">
            <w:pPr>
              <w:spacing w:after="100"/>
              <w:jc w:val="center"/>
            </w:pPr>
            <w:r>
              <w:t>зачтено</w:t>
            </w:r>
          </w:p>
        </w:tc>
      </w:tr>
      <w:tr w:rsidR="00D15A60" w:rsidRPr="00EF4A18" w:rsidTr="008B2CA8">
        <w:trPr>
          <w:trHeight w:val="372"/>
        </w:trPr>
        <w:tc>
          <w:tcPr>
            <w:tcW w:w="648" w:type="dxa"/>
          </w:tcPr>
          <w:p w:rsidR="00D15A60" w:rsidRPr="00EF4A18" w:rsidRDefault="00D15A60" w:rsidP="00411DB0">
            <w:pPr>
              <w:numPr>
                <w:ilvl w:val="0"/>
                <w:numId w:val="3"/>
              </w:numPr>
              <w:autoSpaceDE/>
              <w:autoSpaceDN/>
              <w:spacing w:after="100" w:line="276" w:lineRule="auto"/>
              <w:jc w:val="center"/>
            </w:pPr>
          </w:p>
        </w:tc>
        <w:tc>
          <w:tcPr>
            <w:tcW w:w="2976" w:type="dxa"/>
          </w:tcPr>
          <w:p w:rsidR="00D15A60" w:rsidRPr="00EF4A18" w:rsidRDefault="008B2CA8" w:rsidP="00411DB0">
            <w:pPr>
              <w:spacing w:after="100"/>
              <w:ind w:left="-81"/>
            </w:pPr>
            <w:r>
              <w:t>Функционирование предприятий в чрезвычайных ситуациях</w:t>
            </w:r>
          </w:p>
        </w:tc>
        <w:tc>
          <w:tcPr>
            <w:tcW w:w="1827" w:type="dxa"/>
          </w:tcPr>
          <w:p w:rsidR="00D15A60" w:rsidRPr="00EF4A18" w:rsidRDefault="008B2CA8" w:rsidP="00411DB0">
            <w:pPr>
              <w:spacing w:after="100"/>
              <w:jc w:val="center"/>
            </w:pPr>
            <w:r>
              <w:t>27</w:t>
            </w:r>
          </w:p>
        </w:tc>
        <w:tc>
          <w:tcPr>
            <w:tcW w:w="1603" w:type="dxa"/>
          </w:tcPr>
          <w:p w:rsidR="00D15A60" w:rsidRPr="00EF4A18" w:rsidRDefault="00424DD8" w:rsidP="00411DB0">
            <w:pPr>
              <w:spacing w:after="100"/>
              <w:jc w:val="center"/>
            </w:pPr>
            <w:r>
              <w:t>зачтено</w:t>
            </w:r>
          </w:p>
        </w:tc>
      </w:tr>
      <w:tr w:rsidR="00D15A60" w:rsidRPr="00EF4A18" w:rsidTr="008B2CA8">
        <w:trPr>
          <w:trHeight w:val="284"/>
        </w:trPr>
        <w:tc>
          <w:tcPr>
            <w:tcW w:w="648" w:type="dxa"/>
          </w:tcPr>
          <w:p w:rsidR="00D15A60" w:rsidRPr="00EF4A18" w:rsidRDefault="00D15A60" w:rsidP="00411DB0">
            <w:pPr>
              <w:numPr>
                <w:ilvl w:val="0"/>
                <w:numId w:val="3"/>
              </w:numPr>
              <w:autoSpaceDE/>
              <w:autoSpaceDN/>
              <w:spacing w:after="100" w:line="276" w:lineRule="auto"/>
              <w:jc w:val="center"/>
            </w:pPr>
          </w:p>
        </w:tc>
        <w:tc>
          <w:tcPr>
            <w:tcW w:w="2976" w:type="dxa"/>
          </w:tcPr>
          <w:p w:rsidR="00D15A60" w:rsidRPr="00EF4A18" w:rsidRDefault="008B2CA8" w:rsidP="00411DB0">
            <w:pPr>
              <w:spacing w:after="100"/>
              <w:ind w:left="-81"/>
            </w:pPr>
            <w:r>
              <w:t>Электробезопасность</w:t>
            </w:r>
          </w:p>
        </w:tc>
        <w:tc>
          <w:tcPr>
            <w:tcW w:w="1827" w:type="dxa"/>
          </w:tcPr>
          <w:p w:rsidR="00D15A60" w:rsidRPr="00EF4A18" w:rsidRDefault="008B2CA8" w:rsidP="00411DB0">
            <w:pPr>
              <w:spacing w:after="100"/>
              <w:jc w:val="center"/>
            </w:pPr>
            <w:r>
              <w:t>26</w:t>
            </w:r>
          </w:p>
        </w:tc>
        <w:tc>
          <w:tcPr>
            <w:tcW w:w="1603" w:type="dxa"/>
          </w:tcPr>
          <w:p w:rsidR="00D15A60" w:rsidRPr="00EF4A18" w:rsidRDefault="00424DD8" w:rsidP="00411DB0">
            <w:pPr>
              <w:spacing w:after="100"/>
              <w:jc w:val="center"/>
            </w:pPr>
            <w:r>
              <w:t>зачтено</w:t>
            </w:r>
          </w:p>
        </w:tc>
      </w:tr>
      <w:tr w:rsidR="00D15A60" w:rsidRPr="00EF4A18" w:rsidTr="008B2CA8">
        <w:trPr>
          <w:trHeight w:val="425"/>
        </w:trPr>
        <w:tc>
          <w:tcPr>
            <w:tcW w:w="648" w:type="dxa"/>
          </w:tcPr>
          <w:p w:rsidR="00D15A60" w:rsidRPr="00EF4A18" w:rsidRDefault="00D15A60" w:rsidP="00411DB0">
            <w:pPr>
              <w:numPr>
                <w:ilvl w:val="0"/>
                <w:numId w:val="3"/>
              </w:numPr>
              <w:autoSpaceDE/>
              <w:autoSpaceDN/>
              <w:spacing w:after="100" w:line="276" w:lineRule="auto"/>
              <w:jc w:val="center"/>
            </w:pPr>
          </w:p>
        </w:tc>
        <w:tc>
          <w:tcPr>
            <w:tcW w:w="2976" w:type="dxa"/>
          </w:tcPr>
          <w:p w:rsidR="00D15A60" w:rsidRPr="00EF4A18" w:rsidRDefault="008B2CA8" w:rsidP="00411DB0">
            <w:pPr>
              <w:spacing w:after="100"/>
              <w:ind w:left="-81"/>
            </w:pPr>
            <w:r>
              <w:t>Безопасность и экологичность проектов</w:t>
            </w:r>
          </w:p>
        </w:tc>
        <w:tc>
          <w:tcPr>
            <w:tcW w:w="1827" w:type="dxa"/>
          </w:tcPr>
          <w:p w:rsidR="00D15A60" w:rsidRPr="00EF4A18" w:rsidRDefault="008B2CA8" w:rsidP="00411DB0">
            <w:pPr>
              <w:spacing w:after="100"/>
              <w:jc w:val="center"/>
            </w:pPr>
            <w:r>
              <w:t>24</w:t>
            </w:r>
          </w:p>
        </w:tc>
        <w:tc>
          <w:tcPr>
            <w:tcW w:w="1603" w:type="dxa"/>
          </w:tcPr>
          <w:p w:rsidR="00D15A60" w:rsidRPr="00EF4A18" w:rsidRDefault="008B2CA8" w:rsidP="00411DB0">
            <w:pPr>
              <w:spacing w:after="100"/>
              <w:jc w:val="center"/>
            </w:pPr>
            <w:r>
              <w:t>зачтено</w:t>
            </w:r>
          </w:p>
        </w:tc>
      </w:tr>
      <w:tr w:rsidR="00D15A60" w:rsidRPr="00EF4A18" w:rsidTr="008B2CA8">
        <w:trPr>
          <w:trHeight w:val="284"/>
        </w:trPr>
        <w:tc>
          <w:tcPr>
            <w:tcW w:w="648" w:type="dxa"/>
          </w:tcPr>
          <w:p w:rsidR="00D15A60" w:rsidRPr="00EF4A18" w:rsidRDefault="00D15A60" w:rsidP="00411DB0">
            <w:pPr>
              <w:numPr>
                <w:ilvl w:val="0"/>
                <w:numId w:val="3"/>
              </w:numPr>
              <w:autoSpaceDE/>
              <w:autoSpaceDN/>
              <w:spacing w:after="100" w:line="276" w:lineRule="auto"/>
              <w:jc w:val="center"/>
            </w:pPr>
          </w:p>
        </w:tc>
        <w:tc>
          <w:tcPr>
            <w:tcW w:w="2976" w:type="dxa"/>
          </w:tcPr>
          <w:p w:rsidR="00D15A60" w:rsidRPr="00EF4A18" w:rsidRDefault="008B2CA8" w:rsidP="00411DB0">
            <w:pPr>
              <w:spacing w:after="100"/>
              <w:ind w:left="-81"/>
            </w:pPr>
            <w:r>
              <w:t xml:space="preserve">Основы </w:t>
            </w:r>
            <w:proofErr w:type="spellStart"/>
            <w:r>
              <w:t>взрывопожаро</w:t>
            </w:r>
            <w:r w:rsidR="00763604">
              <w:t>-</w:t>
            </w:r>
            <w:r>
              <w:t>безопасности</w:t>
            </w:r>
            <w:proofErr w:type="spellEnd"/>
            <w:r>
              <w:t xml:space="preserve"> производств</w:t>
            </w:r>
          </w:p>
        </w:tc>
        <w:tc>
          <w:tcPr>
            <w:tcW w:w="1827" w:type="dxa"/>
          </w:tcPr>
          <w:p w:rsidR="00D15A60" w:rsidRPr="00EF4A18" w:rsidRDefault="008B2CA8" w:rsidP="00411DB0">
            <w:pPr>
              <w:spacing w:after="100"/>
              <w:jc w:val="center"/>
            </w:pPr>
            <w:r>
              <w:t>24</w:t>
            </w:r>
          </w:p>
        </w:tc>
        <w:tc>
          <w:tcPr>
            <w:tcW w:w="1603" w:type="dxa"/>
          </w:tcPr>
          <w:p w:rsidR="00D15A60" w:rsidRPr="00EF4A18" w:rsidRDefault="00D15A60" w:rsidP="00411DB0">
            <w:pPr>
              <w:spacing w:after="100"/>
              <w:jc w:val="center"/>
            </w:pPr>
            <w:r>
              <w:t>зачтено</w:t>
            </w:r>
          </w:p>
        </w:tc>
      </w:tr>
      <w:tr w:rsidR="00D15A60" w:rsidRPr="00EF4A18" w:rsidTr="008B2CA8">
        <w:trPr>
          <w:trHeight w:val="386"/>
        </w:trPr>
        <w:tc>
          <w:tcPr>
            <w:tcW w:w="648" w:type="dxa"/>
          </w:tcPr>
          <w:p w:rsidR="00D15A60" w:rsidRPr="00EF4A18" w:rsidRDefault="00D15A60" w:rsidP="00411DB0">
            <w:pPr>
              <w:numPr>
                <w:ilvl w:val="0"/>
                <w:numId w:val="3"/>
              </w:numPr>
              <w:autoSpaceDE/>
              <w:autoSpaceDN/>
              <w:spacing w:after="100" w:line="276" w:lineRule="auto"/>
              <w:jc w:val="center"/>
            </w:pPr>
          </w:p>
        </w:tc>
        <w:tc>
          <w:tcPr>
            <w:tcW w:w="2976" w:type="dxa"/>
          </w:tcPr>
          <w:p w:rsidR="00D15A60" w:rsidRPr="00EF4A18" w:rsidRDefault="008B2CA8" w:rsidP="00411DB0">
            <w:pPr>
              <w:spacing w:after="100"/>
              <w:ind w:left="-81"/>
            </w:pPr>
            <w:r>
              <w:t>Безопасность технологических процессов</w:t>
            </w:r>
          </w:p>
        </w:tc>
        <w:tc>
          <w:tcPr>
            <w:tcW w:w="1827" w:type="dxa"/>
          </w:tcPr>
          <w:p w:rsidR="00D15A60" w:rsidRPr="00EF4A18" w:rsidRDefault="008B2CA8" w:rsidP="00411DB0">
            <w:pPr>
              <w:spacing w:after="100"/>
              <w:jc w:val="center"/>
            </w:pPr>
            <w:r>
              <w:t>24</w:t>
            </w:r>
          </w:p>
        </w:tc>
        <w:tc>
          <w:tcPr>
            <w:tcW w:w="1603" w:type="dxa"/>
          </w:tcPr>
          <w:p w:rsidR="00D15A60" w:rsidRPr="00EF4A18" w:rsidRDefault="008B2CA8" w:rsidP="00411DB0">
            <w:pPr>
              <w:spacing w:after="100"/>
              <w:jc w:val="center"/>
            </w:pPr>
            <w:r>
              <w:t>зачтено</w:t>
            </w:r>
          </w:p>
        </w:tc>
      </w:tr>
      <w:tr w:rsidR="00D15A60" w:rsidRPr="00EF4A18" w:rsidTr="00411DB0">
        <w:trPr>
          <w:trHeight w:val="228"/>
        </w:trPr>
        <w:tc>
          <w:tcPr>
            <w:tcW w:w="648" w:type="dxa"/>
          </w:tcPr>
          <w:p w:rsidR="00D15A60" w:rsidRPr="00EF4A18" w:rsidRDefault="00D15A60" w:rsidP="00411DB0">
            <w:pPr>
              <w:numPr>
                <w:ilvl w:val="0"/>
                <w:numId w:val="3"/>
              </w:numPr>
              <w:autoSpaceDE/>
              <w:autoSpaceDN/>
              <w:spacing w:after="100" w:line="276" w:lineRule="auto"/>
              <w:jc w:val="center"/>
            </w:pPr>
          </w:p>
        </w:tc>
        <w:tc>
          <w:tcPr>
            <w:tcW w:w="2976" w:type="dxa"/>
          </w:tcPr>
          <w:p w:rsidR="00D15A60" w:rsidRPr="00EF4A18" w:rsidRDefault="008B2CA8" w:rsidP="00411DB0">
            <w:pPr>
              <w:spacing w:after="100"/>
              <w:ind w:left="-81"/>
            </w:pPr>
            <w:r>
              <w:t>Производственная санитария</w:t>
            </w:r>
          </w:p>
        </w:tc>
        <w:tc>
          <w:tcPr>
            <w:tcW w:w="1827" w:type="dxa"/>
          </w:tcPr>
          <w:p w:rsidR="00D15A60" w:rsidRPr="00EF4A18" w:rsidRDefault="008B2CA8" w:rsidP="00411DB0">
            <w:pPr>
              <w:spacing w:after="100"/>
              <w:jc w:val="center"/>
            </w:pPr>
            <w:r>
              <w:t>27</w:t>
            </w:r>
          </w:p>
        </w:tc>
        <w:tc>
          <w:tcPr>
            <w:tcW w:w="1603" w:type="dxa"/>
          </w:tcPr>
          <w:p w:rsidR="00D15A60" w:rsidRPr="00EF4A18" w:rsidRDefault="008B2CA8" w:rsidP="00411DB0">
            <w:pPr>
              <w:spacing w:after="100"/>
              <w:jc w:val="center"/>
            </w:pPr>
            <w:r>
              <w:t>зачтено</w:t>
            </w:r>
          </w:p>
        </w:tc>
      </w:tr>
      <w:tr w:rsidR="008B2CA8" w:rsidRPr="00EF4A18" w:rsidTr="008B2CA8">
        <w:trPr>
          <w:trHeight w:val="349"/>
        </w:trPr>
        <w:tc>
          <w:tcPr>
            <w:tcW w:w="648" w:type="dxa"/>
          </w:tcPr>
          <w:p w:rsidR="008B2CA8" w:rsidRPr="00EF4A18" w:rsidRDefault="008B2CA8" w:rsidP="00411DB0">
            <w:pPr>
              <w:numPr>
                <w:ilvl w:val="0"/>
                <w:numId w:val="3"/>
              </w:numPr>
              <w:autoSpaceDE/>
              <w:autoSpaceDN/>
              <w:spacing w:after="100" w:line="276" w:lineRule="auto"/>
              <w:jc w:val="center"/>
            </w:pPr>
          </w:p>
        </w:tc>
        <w:tc>
          <w:tcPr>
            <w:tcW w:w="2976" w:type="dxa"/>
          </w:tcPr>
          <w:p w:rsidR="008B2CA8" w:rsidRDefault="008B2CA8" w:rsidP="00411DB0">
            <w:pPr>
              <w:spacing w:after="100"/>
              <w:ind w:left="-81"/>
            </w:pPr>
            <w:r>
              <w:t>Техническое обеспечение мероприятий по защите от чрезвычайных ситуаций</w:t>
            </w:r>
          </w:p>
        </w:tc>
        <w:tc>
          <w:tcPr>
            <w:tcW w:w="1827" w:type="dxa"/>
          </w:tcPr>
          <w:p w:rsidR="008B2CA8" w:rsidRDefault="008B2CA8" w:rsidP="00411DB0">
            <w:pPr>
              <w:spacing w:after="100"/>
              <w:jc w:val="center"/>
            </w:pPr>
            <w:r>
              <w:t>24</w:t>
            </w:r>
          </w:p>
        </w:tc>
        <w:tc>
          <w:tcPr>
            <w:tcW w:w="1603" w:type="dxa"/>
          </w:tcPr>
          <w:p w:rsidR="008B2CA8" w:rsidRDefault="008B2CA8" w:rsidP="00411DB0">
            <w:pPr>
              <w:spacing w:after="100"/>
              <w:jc w:val="center"/>
            </w:pPr>
            <w:r>
              <w:t>зачтено</w:t>
            </w:r>
          </w:p>
        </w:tc>
      </w:tr>
      <w:tr w:rsidR="008B2CA8" w:rsidRPr="00EF4A18" w:rsidTr="008B2CA8">
        <w:trPr>
          <w:trHeight w:val="349"/>
        </w:trPr>
        <w:tc>
          <w:tcPr>
            <w:tcW w:w="648" w:type="dxa"/>
          </w:tcPr>
          <w:p w:rsidR="008B2CA8" w:rsidRPr="00EF4A18" w:rsidRDefault="008B2CA8" w:rsidP="00411DB0">
            <w:pPr>
              <w:numPr>
                <w:ilvl w:val="0"/>
                <w:numId w:val="3"/>
              </w:numPr>
              <w:autoSpaceDE/>
              <w:autoSpaceDN/>
              <w:spacing w:after="100" w:line="276" w:lineRule="auto"/>
              <w:jc w:val="center"/>
            </w:pPr>
          </w:p>
        </w:tc>
        <w:tc>
          <w:tcPr>
            <w:tcW w:w="2976" w:type="dxa"/>
          </w:tcPr>
          <w:p w:rsidR="008B2CA8" w:rsidRDefault="008B2CA8" w:rsidP="00411DB0">
            <w:pPr>
              <w:spacing w:after="100"/>
              <w:ind w:left="-81"/>
            </w:pPr>
            <w:r>
              <w:t>Мониторинг безопасности процессов производства</w:t>
            </w:r>
          </w:p>
        </w:tc>
        <w:tc>
          <w:tcPr>
            <w:tcW w:w="1827" w:type="dxa"/>
          </w:tcPr>
          <w:p w:rsidR="008B2CA8" w:rsidRDefault="008B2CA8" w:rsidP="00411DB0">
            <w:pPr>
              <w:spacing w:after="100"/>
              <w:jc w:val="center"/>
            </w:pPr>
            <w:r>
              <w:t>24</w:t>
            </w:r>
          </w:p>
        </w:tc>
        <w:tc>
          <w:tcPr>
            <w:tcW w:w="1603" w:type="dxa"/>
          </w:tcPr>
          <w:p w:rsidR="008B2CA8" w:rsidRDefault="008B2CA8" w:rsidP="00411DB0">
            <w:pPr>
              <w:spacing w:after="100"/>
              <w:jc w:val="center"/>
            </w:pPr>
            <w:r>
              <w:t>зачтено</w:t>
            </w:r>
          </w:p>
        </w:tc>
      </w:tr>
      <w:tr w:rsidR="00D15A60" w:rsidRPr="00EF4A18" w:rsidTr="008B2CA8">
        <w:trPr>
          <w:trHeight w:val="284"/>
        </w:trPr>
        <w:tc>
          <w:tcPr>
            <w:tcW w:w="648" w:type="dxa"/>
          </w:tcPr>
          <w:p w:rsidR="00D15A60" w:rsidRPr="00EF4A18" w:rsidRDefault="00D15A60" w:rsidP="00411DB0">
            <w:pPr>
              <w:numPr>
                <w:ilvl w:val="0"/>
                <w:numId w:val="3"/>
              </w:numPr>
              <w:autoSpaceDE/>
              <w:autoSpaceDN/>
              <w:spacing w:after="100" w:line="276" w:lineRule="auto"/>
              <w:jc w:val="center"/>
            </w:pPr>
          </w:p>
        </w:tc>
        <w:tc>
          <w:tcPr>
            <w:tcW w:w="2976" w:type="dxa"/>
          </w:tcPr>
          <w:p w:rsidR="00D15A60" w:rsidRPr="00EF4A18" w:rsidRDefault="00D15A60" w:rsidP="00411DB0">
            <w:pPr>
              <w:spacing w:after="100"/>
              <w:ind w:left="-81"/>
            </w:pPr>
            <w:r w:rsidRPr="00EF4A18">
              <w:t>Итоговая аттестация (междисциплинарный экзамен)</w:t>
            </w:r>
          </w:p>
        </w:tc>
        <w:tc>
          <w:tcPr>
            <w:tcW w:w="1827" w:type="dxa"/>
          </w:tcPr>
          <w:p w:rsidR="00D15A60" w:rsidRPr="00EF4A18" w:rsidRDefault="00FB0408" w:rsidP="00411DB0">
            <w:pPr>
              <w:spacing w:after="100"/>
              <w:jc w:val="center"/>
            </w:pPr>
            <w:r>
              <w:t>2</w:t>
            </w:r>
          </w:p>
        </w:tc>
        <w:tc>
          <w:tcPr>
            <w:tcW w:w="1603" w:type="dxa"/>
          </w:tcPr>
          <w:p w:rsidR="00D15A60" w:rsidRPr="00EF4A18" w:rsidRDefault="00226D10" w:rsidP="00411DB0">
            <w:pPr>
              <w:spacing w:after="100"/>
              <w:jc w:val="center"/>
            </w:pPr>
            <w:r>
              <w:t>отлично</w:t>
            </w:r>
          </w:p>
        </w:tc>
      </w:tr>
      <w:tr w:rsidR="00D15A60" w:rsidRPr="00EF4A18" w:rsidTr="008B2CA8">
        <w:trPr>
          <w:trHeight w:val="284"/>
        </w:trPr>
        <w:tc>
          <w:tcPr>
            <w:tcW w:w="648" w:type="dxa"/>
          </w:tcPr>
          <w:p w:rsidR="00D15A60" w:rsidRPr="00EF4A18" w:rsidRDefault="00D15A60" w:rsidP="00BE6087">
            <w:pPr>
              <w:jc w:val="center"/>
            </w:pPr>
          </w:p>
        </w:tc>
        <w:tc>
          <w:tcPr>
            <w:tcW w:w="2976" w:type="dxa"/>
          </w:tcPr>
          <w:p w:rsidR="00D15A60" w:rsidRPr="00B20CC9" w:rsidRDefault="00D15A60" w:rsidP="0018457F">
            <w:pPr>
              <w:rPr>
                <w:sz w:val="28"/>
                <w:szCs w:val="28"/>
              </w:rPr>
            </w:pPr>
            <w:r w:rsidRPr="00EF4A18">
              <w:t xml:space="preserve">         </w:t>
            </w:r>
            <w:r w:rsidRPr="00B20CC9">
              <w:rPr>
                <w:sz w:val="28"/>
                <w:szCs w:val="28"/>
              </w:rPr>
              <w:t xml:space="preserve">            </w:t>
            </w:r>
          </w:p>
          <w:p w:rsidR="00D15A60" w:rsidRPr="00EF4A18" w:rsidRDefault="00FB0408" w:rsidP="005A0DA5">
            <w:pPr>
              <w:jc w:val="center"/>
            </w:pPr>
            <w:r>
              <w:t>2</w:t>
            </w:r>
            <w:r w:rsidR="00424DD8">
              <w:t>5</w:t>
            </w:r>
            <w:r>
              <w:t xml:space="preserve">2 </w:t>
            </w:r>
            <w:r w:rsidR="00D15A60" w:rsidRPr="00EF4A18">
              <w:t xml:space="preserve"> час</w:t>
            </w:r>
            <w:r w:rsidR="005A0DA5">
              <w:t>а</w:t>
            </w:r>
            <w:r w:rsidR="00D15A60" w:rsidRPr="00EF4A18">
              <w:t xml:space="preserve"> </w:t>
            </w:r>
          </w:p>
        </w:tc>
        <w:tc>
          <w:tcPr>
            <w:tcW w:w="1827" w:type="dxa"/>
          </w:tcPr>
          <w:p w:rsidR="00D15A60" w:rsidRPr="00EF4A18" w:rsidRDefault="00D15A60" w:rsidP="005A3138">
            <w:pPr>
              <w:jc w:val="center"/>
            </w:pPr>
          </w:p>
        </w:tc>
        <w:tc>
          <w:tcPr>
            <w:tcW w:w="1603" w:type="dxa"/>
          </w:tcPr>
          <w:p w:rsidR="00D15A60" w:rsidRPr="00EF4A18" w:rsidRDefault="00D15A60" w:rsidP="005A3138">
            <w:pPr>
              <w:jc w:val="right"/>
              <w:rPr>
                <w:spacing w:val="-2"/>
              </w:rPr>
            </w:pPr>
          </w:p>
        </w:tc>
      </w:tr>
    </w:tbl>
    <w:p w:rsidR="00C62C99" w:rsidRPr="005B410C" w:rsidRDefault="00C62C99" w:rsidP="00166536">
      <w:pPr>
        <w:rPr>
          <w:sz w:val="16"/>
          <w:szCs w:val="16"/>
        </w:rPr>
      </w:pPr>
    </w:p>
    <w:p w:rsidR="00C62C99" w:rsidRDefault="00C62C99"/>
    <w:sectPr w:rsidR="00C62C99" w:rsidSect="007A0EB3">
      <w:pgSz w:w="11906" w:h="16838"/>
      <w:pgMar w:top="1134" w:right="851" w:bottom="1134" w:left="255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B6781"/>
    <w:multiLevelType w:val="hybridMultilevel"/>
    <w:tmpl w:val="D7902F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975900"/>
    <w:multiLevelType w:val="hybridMultilevel"/>
    <w:tmpl w:val="3DDED94E"/>
    <w:lvl w:ilvl="0" w:tplc="306AD7E4">
      <w:start w:val="1"/>
      <w:numFmt w:val="decimal"/>
      <w:lvlText w:val="%1."/>
      <w:lvlJc w:val="left"/>
      <w:pPr>
        <w:tabs>
          <w:tab w:val="num" w:pos="284"/>
        </w:tabs>
      </w:pPr>
      <w:rPr>
        <w:rFonts w:ascii="Times New Roman" w:eastAsia="Times New Roman" w:hAnsi="Times New Roman" w:cs="Times New Roman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1D1D"/>
    <w:rsid w:val="00011E51"/>
    <w:rsid w:val="000228EA"/>
    <w:rsid w:val="0002324D"/>
    <w:rsid w:val="00025250"/>
    <w:rsid w:val="000253F6"/>
    <w:rsid w:val="00032E21"/>
    <w:rsid w:val="00042231"/>
    <w:rsid w:val="00047545"/>
    <w:rsid w:val="00083720"/>
    <w:rsid w:val="00084E57"/>
    <w:rsid w:val="0009332C"/>
    <w:rsid w:val="000A2427"/>
    <w:rsid w:val="000B6363"/>
    <w:rsid w:val="000D7E9D"/>
    <w:rsid w:val="00123A71"/>
    <w:rsid w:val="00141D1B"/>
    <w:rsid w:val="001439C4"/>
    <w:rsid w:val="00155347"/>
    <w:rsid w:val="00166536"/>
    <w:rsid w:val="0018457F"/>
    <w:rsid w:val="001924A8"/>
    <w:rsid w:val="001950C5"/>
    <w:rsid w:val="001B46A3"/>
    <w:rsid w:val="001C493C"/>
    <w:rsid w:val="001D75FE"/>
    <w:rsid w:val="001E686D"/>
    <w:rsid w:val="001F5406"/>
    <w:rsid w:val="00220C69"/>
    <w:rsid w:val="00226D10"/>
    <w:rsid w:val="002340C5"/>
    <w:rsid w:val="00240B13"/>
    <w:rsid w:val="00280F36"/>
    <w:rsid w:val="0028589B"/>
    <w:rsid w:val="00286F2B"/>
    <w:rsid w:val="002C7A11"/>
    <w:rsid w:val="002F4CA9"/>
    <w:rsid w:val="0030037E"/>
    <w:rsid w:val="00313FC3"/>
    <w:rsid w:val="003337F5"/>
    <w:rsid w:val="003B0775"/>
    <w:rsid w:val="003F1281"/>
    <w:rsid w:val="003F16D4"/>
    <w:rsid w:val="003F33D4"/>
    <w:rsid w:val="004012F4"/>
    <w:rsid w:val="00411DB0"/>
    <w:rsid w:val="00415B88"/>
    <w:rsid w:val="00421CF2"/>
    <w:rsid w:val="004240B9"/>
    <w:rsid w:val="00424DD8"/>
    <w:rsid w:val="0045441C"/>
    <w:rsid w:val="00457786"/>
    <w:rsid w:val="00480D0E"/>
    <w:rsid w:val="00483765"/>
    <w:rsid w:val="00487E13"/>
    <w:rsid w:val="00491415"/>
    <w:rsid w:val="004B0BCC"/>
    <w:rsid w:val="004C63D4"/>
    <w:rsid w:val="004D173D"/>
    <w:rsid w:val="004D6E02"/>
    <w:rsid w:val="00502537"/>
    <w:rsid w:val="005041EA"/>
    <w:rsid w:val="005106F3"/>
    <w:rsid w:val="005210E0"/>
    <w:rsid w:val="005324B2"/>
    <w:rsid w:val="00534D28"/>
    <w:rsid w:val="0056255C"/>
    <w:rsid w:val="0056607D"/>
    <w:rsid w:val="005825D7"/>
    <w:rsid w:val="005877EF"/>
    <w:rsid w:val="00587ED1"/>
    <w:rsid w:val="0059676B"/>
    <w:rsid w:val="005A0DA5"/>
    <w:rsid w:val="005A3138"/>
    <w:rsid w:val="005B410C"/>
    <w:rsid w:val="005B55D9"/>
    <w:rsid w:val="005E704C"/>
    <w:rsid w:val="00612425"/>
    <w:rsid w:val="00624AED"/>
    <w:rsid w:val="00626506"/>
    <w:rsid w:val="00637705"/>
    <w:rsid w:val="00642E32"/>
    <w:rsid w:val="00645E51"/>
    <w:rsid w:val="00656856"/>
    <w:rsid w:val="00670D9D"/>
    <w:rsid w:val="006805E0"/>
    <w:rsid w:val="006822BA"/>
    <w:rsid w:val="006A588C"/>
    <w:rsid w:val="006A5992"/>
    <w:rsid w:val="006C70B1"/>
    <w:rsid w:val="006C710C"/>
    <w:rsid w:val="006D22A7"/>
    <w:rsid w:val="0070471F"/>
    <w:rsid w:val="00716BAF"/>
    <w:rsid w:val="007276A0"/>
    <w:rsid w:val="007309D9"/>
    <w:rsid w:val="0073255A"/>
    <w:rsid w:val="00733A2D"/>
    <w:rsid w:val="00750F07"/>
    <w:rsid w:val="00763604"/>
    <w:rsid w:val="0076477E"/>
    <w:rsid w:val="0079064D"/>
    <w:rsid w:val="007A0EB3"/>
    <w:rsid w:val="007A2233"/>
    <w:rsid w:val="007C24FF"/>
    <w:rsid w:val="007C2571"/>
    <w:rsid w:val="008316CA"/>
    <w:rsid w:val="0083173D"/>
    <w:rsid w:val="00846D61"/>
    <w:rsid w:val="00882447"/>
    <w:rsid w:val="008A7FE1"/>
    <w:rsid w:val="008B2CA8"/>
    <w:rsid w:val="00907C4D"/>
    <w:rsid w:val="00913D26"/>
    <w:rsid w:val="009561B2"/>
    <w:rsid w:val="00962724"/>
    <w:rsid w:val="00972A56"/>
    <w:rsid w:val="00993F95"/>
    <w:rsid w:val="009A36E5"/>
    <w:rsid w:val="009A6D62"/>
    <w:rsid w:val="009B156F"/>
    <w:rsid w:val="009B1D1D"/>
    <w:rsid w:val="009B3ACE"/>
    <w:rsid w:val="00A02C9F"/>
    <w:rsid w:val="00A04B78"/>
    <w:rsid w:val="00A214C4"/>
    <w:rsid w:val="00A23830"/>
    <w:rsid w:val="00A34B39"/>
    <w:rsid w:val="00A42A52"/>
    <w:rsid w:val="00A821A9"/>
    <w:rsid w:val="00A86D00"/>
    <w:rsid w:val="00A95DA5"/>
    <w:rsid w:val="00AA0B2C"/>
    <w:rsid w:val="00AB2033"/>
    <w:rsid w:val="00AB7DA3"/>
    <w:rsid w:val="00AD71B3"/>
    <w:rsid w:val="00AE48E4"/>
    <w:rsid w:val="00AE6D19"/>
    <w:rsid w:val="00B16522"/>
    <w:rsid w:val="00B20CC9"/>
    <w:rsid w:val="00B3164B"/>
    <w:rsid w:val="00B3547B"/>
    <w:rsid w:val="00B64750"/>
    <w:rsid w:val="00B75F6B"/>
    <w:rsid w:val="00B8037E"/>
    <w:rsid w:val="00B918B8"/>
    <w:rsid w:val="00BA5C99"/>
    <w:rsid w:val="00BC05E3"/>
    <w:rsid w:val="00BC4FD3"/>
    <w:rsid w:val="00BD33AD"/>
    <w:rsid w:val="00BE6087"/>
    <w:rsid w:val="00C22B68"/>
    <w:rsid w:val="00C34CE7"/>
    <w:rsid w:val="00C62C99"/>
    <w:rsid w:val="00C7330B"/>
    <w:rsid w:val="00C753B2"/>
    <w:rsid w:val="00C8601C"/>
    <w:rsid w:val="00CB2D7E"/>
    <w:rsid w:val="00CB7573"/>
    <w:rsid w:val="00CC40EA"/>
    <w:rsid w:val="00CC6376"/>
    <w:rsid w:val="00CD69CA"/>
    <w:rsid w:val="00CF71D7"/>
    <w:rsid w:val="00D15A60"/>
    <w:rsid w:val="00D20EB6"/>
    <w:rsid w:val="00D26221"/>
    <w:rsid w:val="00D329D2"/>
    <w:rsid w:val="00D611F9"/>
    <w:rsid w:val="00D9370F"/>
    <w:rsid w:val="00DA69B3"/>
    <w:rsid w:val="00DB065D"/>
    <w:rsid w:val="00DE0CDD"/>
    <w:rsid w:val="00DE54F0"/>
    <w:rsid w:val="00DF2367"/>
    <w:rsid w:val="00DF4750"/>
    <w:rsid w:val="00E028FF"/>
    <w:rsid w:val="00E05D8B"/>
    <w:rsid w:val="00E549E7"/>
    <w:rsid w:val="00E837C0"/>
    <w:rsid w:val="00E95195"/>
    <w:rsid w:val="00E95E68"/>
    <w:rsid w:val="00EC2E6A"/>
    <w:rsid w:val="00EE063A"/>
    <w:rsid w:val="00EF05FA"/>
    <w:rsid w:val="00EF4A18"/>
    <w:rsid w:val="00F03E20"/>
    <w:rsid w:val="00F04438"/>
    <w:rsid w:val="00F1666A"/>
    <w:rsid w:val="00F3759B"/>
    <w:rsid w:val="00F41803"/>
    <w:rsid w:val="00F66AB0"/>
    <w:rsid w:val="00F73AE8"/>
    <w:rsid w:val="00F95C75"/>
    <w:rsid w:val="00FA2912"/>
    <w:rsid w:val="00FA470B"/>
    <w:rsid w:val="00FB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D1D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B1D1D"/>
    <w:pPr>
      <w:autoSpaceDE w:val="0"/>
      <w:autoSpaceDN w:val="0"/>
    </w:pPr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A34B3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C24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24FF"/>
    <w:rPr>
      <w:rFonts w:ascii="Tahoma" w:eastAsia="Times New Roman" w:hAnsi="Tahoma" w:cs="Tahoma"/>
      <w:sz w:val="16"/>
      <w:szCs w:val="16"/>
    </w:rPr>
  </w:style>
  <w:style w:type="paragraph" w:styleId="a7">
    <w:name w:val="Normal (Web)"/>
    <w:basedOn w:val="a"/>
    <w:rsid w:val="0076477E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76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LudaSoft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</dc:creator>
  <cp:keywords/>
  <dc:description/>
  <cp:lastModifiedBy>ЦДО-2</cp:lastModifiedBy>
  <cp:revision>13</cp:revision>
  <cp:lastPrinted>2017-05-10T11:24:00Z</cp:lastPrinted>
  <dcterms:created xsi:type="dcterms:W3CDTF">2015-07-27T12:08:00Z</dcterms:created>
  <dcterms:modified xsi:type="dcterms:W3CDTF">2017-05-10T11:29:00Z</dcterms:modified>
</cp:coreProperties>
</file>