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617" w:rsidRDefault="006B55E9" w:rsidP="006B55E9">
      <w:pPr>
        <w:pStyle w:val="a3"/>
      </w:pPr>
      <w:r>
        <w:t>Отчет по реализованной функциональности</w:t>
      </w:r>
    </w:p>
    <w:p w:rsidR="006B55E9" w:rsidRPr="00B86DB7" w:rsidRDefault="006B55E9" w:rsidP="00B86DB7">
      <w:pPr>
        <w:pStyle w:val="a4"/>
        <w:numPr>
          <w:ilvl w:val="0"/>
          <w:numId w:val="2"/>
        </w:numPr>
      </w:pPr>
      <w:r>
        <w:t>Убраны артефакты при рисовании линий поверх геометрии модели</w:t>
      </w:r>
      <w:r w:rsidR="00B86DB7">
        <w:t xml:space="preserve"> за счет изменения параметров буфера глубины</w:t>
      </w:r>
      <w:r w:rsidR="00B86DB7" w:rsidRPr="00B86DB7">
        <w:t>.</w:t>
      </w:r>
    </w:p>
    <w:p w:rsidR="00B86DB7" w:rsidRPr="001736C4" w:rsidRDefault="001736C4" w:rsidP="00B86DB7">
      <w:pPr>
        <w:pStyle w:val="a4"/>
        <w:numPr>
          <w:ilvl w:val="0"/>
          <w:numId w:val="2"/>
        </w:numPr>
      </w:pPr>
      <w:r>
        <w:t>Реализована прозрачность объектов</w:t>
      </w:r>
      <w:r w:rsidRPr="001736C4">
        <w:t xml:space="preserve">, в </w:t>
      </w:r>
      <w:r>
        <w:rPr>
          <w:lang w:val="en-US"/>
        </w:rPr>
        <w:t>VBO</w:t>
      </w:r>
      <w:r w:rsidRPr="001736C4">
        <w:t xml:space="preserve"> </w:t>
      </w:r>
      <w:r>
        <w:t>цвета добавлен альфа-канал</w:t>
      </w:r>
      <w:r w:rsidRPr="001736C4">
        <w:t>.</w:t>
      </w:r>
    </w:p>
    <w:p w:rsidR="001736C4" w:rsidRPr="001736C4" w:rsidRDefault="001736C4" w:rsidP="00B86DB7">
      <w:pPr>
        <w:pStyle w:val="a4"/>
        <w:numPr>
          <w:ilvl w:val="0"/>
          <w:numId w:val="2"/>
        </w:numPr>
      </w:pPr>
      <w:r>
        <w:t xml:space="preserve">Реализован импорт основного функционала из </w:t>
      </w:r>
      <w:proofErr w:type="spellStart"/>
      <w:r>
        <w:rPr>
          <w:lang w:val="en-US"/>
        </w:rPr>
        <w:t>dll</w:t>
      </w:r>
      <w:proofErr w:type="spellEnd"/>
      <w:r w:rsidRPr="001736C4">
        <w:t xml:space="preserve"> </w:t>
      </w:r>
      <w:r>
        <w:rPr>
          <w:lang w:val="en-US"/>
        </w:rPr>
        <w:t>GMSH</w:t>
      </w:r>
      <w:r w:rsidRPr="001736C4">
        <w:t>.</w:t>
      </w:r>
    </w:p>
    <w:p w:rsidR="001736C4" w:rsidRPr="001736C4" w:rsidRDefault="001736C4" w:rsidP="00B86DB7">
      <w:pPr>
        <w:pStyle w:val="a4"/>
        <w:numPr>
          <w:ilvl w:val="0"/>
          <w:numId w:val="2"/>
        </w:numPr>
      </w:pPr>
      <w:r>
        <w:t xml:space="preserve">Реализована загрузка на сцену сетки из </w:t>
      </w:r>
      <w:r>
        <w:rPr>
          <w:lang w:val="en-US"/>
        </w:rPr>
        <w:t>GMSH</w:t>
      </w:r>
      <w:r w:rsidRPr="001736C4">
        <w:t xml:space="preserve">, </w:t>
      </w:r>
      <w:r w:rsidR="00154B31">
        <w:t xml:space="preserve">через </w:t>
      </w:r>
      <w:proofErr w:type="spellStart"/>
      <w:r w:rsidR="00154B31">
        <w:rPr>
          <w:lang w:val="en-US"/>
        </w:rPr>
        <w:t>ModelParcer</w:t>
      </w:r>
      <w:proofErr w:type="spellEnd"/>
      <w:r>
        <w:t xml:space="preserve"> корректно </w:t>
      </w:r>
      <w:r w:rsidR="00154B31">
        <w:t>работает построение сетки</w:t>
      </w:r>
      <w:r>
        <w:t xml:space="preserve"> </w:t>
      </w:r>
      <w:r w:rsidR="00154B31">
        <w:t>в</w:t>
      </w:r>
      <w:r>
        <w:t xml:space="preserve"> </w:t>
      </w:r>
      <w:r w:rsidRPr="001736C4">
        <w:t>1</w:t>
      </w:r>
      <w:r>
        <w:rPr>
          <w:lang w:val="en-US"/>
        </w:rPr>
        <w:t>D</w:t>
      </w:r>
      <w:r w:rsidRPr="001736C4">
        <w:t>,2</w:t>
      </w:r>
      <w:r>
        <w:rPr>
          <w:lang w:val="en-US"/>
        </w:rPr>
        <w:t>D</w:t>
      </w:r>
      <w:r>
        <w:t>,3</w:t>
      </w:r>
      <w:r>
        <w:rPr>
          <w:lang w:val="en-US"/>
        </w:rPr>
        <w:t>D</w:t>
      </w:r>
      <w:r w:rsidRPr="001736C4">
        <w:t xml:space="preserve"> </w:t>
      </w:r>
      <w:r>
        <w:t>режим</w:t>
      </w:r>
      <w:r w:rsidR="00154B31">
        <w:t>е</w:t>
      </w:r>
      <w:r w:rsidRPr="001736C4">
        <w:t>.</w:t>
      </w:r>
    </w:p>
    <w:p w:rsidR="001736C4" w:rsidRDefault="00154B31" w:rsidP="00B86DB7">
      <w:pPr>
        <w:pStyle w:val="a4"/>
        <w:numPr>
          <w:ilvl w:val="0"/>
          <w:numId w:val="2"/>
        </w:numPr>
      </w:pPr>
      <w:r>
        <w:t>Реализовано уплотнение сетки</w:t>
      </w:r>
      <w:r w:rsidRPr="00154B31">
        <w:t xml:space="preserve">, </w:t>
      </w:r>
      <w:r>
        <w:t>перед построением модели</w:t>
      </w:r>
      <w:r w:rsidRPr="00154B31">
        <w:t>.</w:t>
      </w:r>
    </w:p>
    <w:p w:rsidR="00154B31" w:rsidRDefault="00154B31" w:rsidP="00B86DB7">
      <w:pPr>
        <w:pStyle w:val="a4"/>
        <w:numPr>
          <w:ilvl w:val="0"/>
          <w:numId w:val="2"/>
        </w:numPr>
      </w:pPr>
      <w:r>
        <w:t>Реализована оптимизация сетки</w:t>
      </w:r>
      <w:r w:rsidRPr="00154B31">
        <w:t xml:space="preserve">, </w:t>
      </w:r>
      <w:r>
        <w:t>треугольники замещаются четырехугольниками</w:t>
      </w:r>
      <w:r w:rsidRPr="00154B31">
        <w:t>.</w:t>
      </w:r>
      <w:r w:rsidR="00E443E4">
        <w:t xml:space="preserve"> Буфер </w:t>
      </w:r>
      <w:r w:rsidR="00E443E4">
        <w:rPr>
          <w:lang w:val="en-US"/>
        </w:rPr>
        <w:t>Edge</w:t>
      </w:r>
      <w:r w:rsidR="00E443E4" w:rsidRPr="00E443E4">
        <w:t xml:space="preserve"> </w:t>
      </w:r>
      <w:r w:rsidR="00E443E4">
        <w:rPr>
          <w:lang w:val="en-US"/>
        </w:rPr>
        <w:t>Flag</w:t>
      </w:r>
      <w:r w:rsidR="00E443E4" w:rsidRPr="00E443E4">
        <w:t xml:space="preserve"> </w:t>
      </w:r>
      <w:r w:rsidR="00E443E4">
        <w:t>при рисовании в этом режиме работает корректно</w:t>
      </w:r>
      <w:r w:rsidR="00E443E4" w:rsidRPr="00E443E4">
        <w:t xml:space="preserve">, </w:t>
      </w:r>
      <w:r w:rsidR="00E443E4">
        <w:t>смежное ребро у двух треугольников не рисуется</w:t>
      </w:r>
      <w:r w:rsidR="00E443E4" w:rsidRPr="00E443E4">
        <w:t>.</w:t>
      </w:r>
      <w:bookmarkStart w:id="0" w:name="_GoBack"/>
      <w:bookmarkEnd w:id="0"/>
    </w:p>
    <w:sectPr w:rsidR="00154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DB6966"/>
    <w:multiLevelType w:val="hybridMultilevel"/>
    <w:tmpl w:val="44BC5210"/>
    <w:lvl w:ilvl="0" w:tplc="24D41C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2B4768"/>
    <w:multiLevelType w:val="hybridMultilevel"/>
    <w:tmpl w:val="4078AD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3F1"/>
    <w:rsid w:val="00154B31"/>
    <w:rsid w:val="001736C4"/>
    <w:rsid w:val="001A53F1"/>
    <w:rsid w:val="006B55E9"/>
    <w:rsid w:val="008A0890"/>
    <w:rsid w:val="00B86DB7"/>
    <w:rsid w:val="00BC034F"/>
    <w:rsid w:val="00E443E4"/>
    <w:rsid w:val="00FD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ACBB12-C180-476C-B847-B8FFEA30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55E9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B55E9"/>
    <w:pPr>
      <w:spacing w:after="0" w:line="240" w:lineRule="auto"/>
      <w:jc w:val="center"/>
    </w:pPr>
    <w:rPr>
      <w:rFonts w:ascii="Times New Roman" w:hAnsi="Times New Roman"/>
      <w:b/>
      <w:sz w:val="32"/>
    </w:rPr>
  </w:style>
  <w:style w:type="paragraph" w:styleId="a4">
    <w:name w:val="List Paragraph"/>
    <w:basedOn w:val="a"/>
    <w:uiPriority w:val="34"/>
    <w:qFormat/>
    <w:rsid w:val="006B55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Кочук Николай Сергеевич</dc:creator>
  <cp:keywords/>
  <dc:description/>
  <cp:lastModifiedBy>Кочук Николай Сергеевич</cp:lastModifiedBy>
  <cp:revision>3</cp:revision>
  <dcterms:created xsi:type="dcterms:W3CDTF">2023-06-13T06:01:00Z</dcterms:created>
  <dcterms:modified xsi:type="dcterms:W3CDTF">2023-06-13T07:15:00Z</dcterms:modified>
</cp:coreProperties>
</file>