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spacing w:line="560" w:lineRule="exact"/>
        <w:jc w:val="center"/>
        <w:outlineLvl w:val="0"/>
        <w:rPr>
          <w:rFonts w:ascii="方正小标宋_GBK" w:hAnsi="方正小标宋_GBK" w:eastAsia="方正小标宋_GBK" w:cs="方正小标宋_GBK"/>
          <w:color w:val="000000"/>
          <w:kern w:val="44"/>
          <w:sz w:val="44"/>
          <w:szCs w:val="44"/>
        </w:rPr>
      </w:pPr>
      <w:bookmarkStart w:id="0" w:name="_GoBack"/>
      <w:bookmarkEnd w:id="0"/>
      <w:r>
        <w:rPr>
          <w:rFonts w:ascii="方正小标宋_GBK" w:hAnsi="方正小标宋_GBK" w:eastAsia="方正小标宋_GBK" w:cs="方正小标宋_GBK"/>
          <w:color w:val="000000"/>
          <w:kern w:val="44"/>
          <w:sz w:val="44"/>
          <w:szCs w:val="44"/>
        </w:rPr>
        <w:t>危险化学品企业</w:t>
      </w:r>
      <w:r>
        <w:rPr>
          <w:rFonts w:hint="eastAsia" w:ascii="方正小标宋_GBK" w:hAnsi="方正小标宋_GBK" w:eastAsia="方正小标宋_GBK" w:cs="方正小标宋_GBK"/>
          <w:color w:val="000000"/>
          <w:kern w:val="44"/>
          <w:sz w:val="44"/>
          <w:szCs w:val="44"/>
        </w:rPr>
        <w:t>双重预防机制数字化系统运行</w:t>
      </w:r>
    </w:p>
    <w:p>
      <w:pPr>
        <w:keepNext/>
        <w:keepLines/>
        <w:spacing w:line="560" w:lineRule="exact"/>
        <w:jc w:val="center"/>
        <w:outlineLvl w:val="0"/>
        <w:rPr>
          <w:rFonts w:ascii="Times New Roman" w:hAnsi="Times New Roman" w:eastAsia="华文中宋"/>
          <w:b/>
          <w:bCs/>
          <w:color w:val="000000"/>
          <w:kern w:val="44"/>
          <w:sz w:val="44"/>
          <w:szCs w:val="44"/>
        </w:rPr>
      </w:pPr>
      <w:r>
        <w:rPr>
          <w:rFonts w:hint="eastAsia" w:ascii="方正小标宋_GBK" w:hAnsi="方正小标宋_GBK" w:eastAsia="方正小标宋_GBK" w:cs="方正小标宋_GBK"/>
          <w:color w:val="000000"/>
          <w:kern w:val="44"/>
          <w:sz w:val="44"/>
          <w:szCs w:val="44"/>
        </w:rPr>
        <w:t>效果评估模型修订稿</w:t>
      </w:r>
    </w:p>
    <w:tbl>
      <w:tblPr>
        <w:tblStyle w:val="7"/>
        <w:tblW w:w="13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5670"/>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b/>
                <w:sz w:val="22"/>
              </w:rPr>
            </w:pPr>
            <w:r>
              <w:rPr>
                <w:rFonts w:hint="eastAsia" w:ascii="仿宋_GB2312" w:eastAsia="仿宋_GB2312"/>
                <w:b/>
                <w:sz w:val="22"/>
              </w:rPr>
              <w:t>模型指标</w:t>
            </w:r>
          </w:p>
        </w:tc>
        <w:tc>
          <w:tcPr>
            <w:tcW w:w="5670" w:type="dxa"/>
            <w:vAlign w:val="center"/>
          </w:tcPr>
          <w:p>
            <w:pPr>
              <w:jc w:val="center"/>
              <w:rPr>
                <w:rFonts w:ascii="仿宋_GB2312" w:eastAsia="仿宋_GB2312"/>
                <w:b/>
                <w:sz w:val="22"/>
              </w:rPr>
            </w:pPr>
            <w:r>
              <w:rPr>
                <w:rFonts w:hint="eastAsia" w:ascii="仿宋_GB2312" w:eastAsia="仿宋_GB2312"/>
                <w:b/>
                <w:sz w:val="22"/>
              </w:rPr>
              <w:t>原文</w:t>
            </w:r>
          </w:p>
        </w:tc>
        <w:tc>
          <w:tcPr>
            <w:tcW w:w="5528" w:type="dxa"/>
            <w:vAlign w:val="center"/>
          </w:tcPr>
          <w:p>
            <w:pPr>
              <w:jc w:val="center"/>
              <w:rPr>
                <w:rFonts w:ascii="仿宋_GB2312" w:eastAsia="仿宋_GB2312"/>
                <w:b/>
                <w:sz w:val="22"/>
              </w:rPr>
            </w:pPr>
            <w:r>
              <w:rPr>
                <w:rFonts w:hint="eastAsia" w:ascii="仿宋_GB2312" w:eastAsia="仿宋_GB2312"/>
                <w:b/>
                <w:sz w:val="22"/>
              </w:rPr>
              <w:t>修订后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6" w:hRule="atLeast"/>
          <w:jc w:val="center"/>
        </w:trPr>
        <w:tc>
          <w:tcPr>
            <w:tcW w:w="2122" w:type="dxa"/>
            <w:vAlign w:val="center"/>
          </w:tcPr>
          <w:p>
            <w:pPr>
              <w:jc w:val="center"/>
              <w:rPr>
                <w:rFonts w:ascii="仿宋_GB2312" w:eastAsia="仿宋_GB2312"/>
              </w:rPr>
            </w:pPr>
            <w:r>
              <w:rPr>
                <w:rFonts w:hint="eastAsia" w:ascii="仿宋_GB2312" w:eastAsia="仿宋_GB2312"/>
              </w:rPr>
              <w:t>计算公式</w:t>
            </w:r>
          </w:p>
        </w:tc>
        <w:tc>
          <w:tcPr>
            <w:tcW w:w="5670" w:type="dxa"/>
            <w:vAlign w:val="center"/>
          </w:tcPr>
          <w:p>
            <w:pPr>
              <w:ind w:firstLine="420" w:firstLineChars="200"/>
              <w:rPr>
                <w:rFonts w:ascii="仿宋_GB2312" w:eastAsia="仿宋_GB2312"/>
              </w:rPr>
            </w:pPr>
            <w:r>
              <w:rPr>
                <w:rFonts w:hint="eastAsia" w:ascii="仿宋_GB2312" w:eastAsia="仿宋_GB2312"/>
              </w:rPr>
              <w:t>省级政府端每周对危险化学品企业双重预防机制数字化系统运行效果进行计算，计算时间为周一上午8时，计算范围为上周一至上周日，计算公式如下：</w:t>
            </w:r>
          </w:p>
          <w:p>
            <w:pPr>
              <w:ind w:firstLine="420" w:firstLineChars="200"/>
              <w:jc w:val="center"/>
              <w:rPr>
                <w:rFonts w:ascii="仿宋_GB2312" w:eastAsia="仿宋_GB2312"/>
              </w:rPr>
            </w:pPr>
            <w:r>
              <w:rPr>
                <w:rFonts w:hint="eastAsia" w:ascii="仿宋_GB2312" w:eastAsia="仿宋_GB2312"/>
              </w:rPr>
              <w:t>E=(A+B)×α</w:t>
            </w:r>
          </w:p>
          <w:p>
            <w:pPr>
              <w:ind w:firstLine="420" w:firstLineChars="200"/>
              <w:rPr>
                <w:rFonts w:ascii="仿宋_GB2312" w:eastAsia="仿宋_GB2312"/>
              </w:rPr>
            </w:pPr>
            <w:r>
              <w:rPr>
                <w:rFonts w:hint="eastAsia" w:ascii="仿宋_GB2312" w:eastAsia="仿宋_GB2312"/>
              </w:rPr>
              <w:t>E为企业双重预防机制运行效果得分，满分100分；A为排查任务完成情况得分，满分50分；B为隐患治理情况得分，满分50分；α为否决项因子，涉及否决项时取0，不涉及取1。</w:t>
            </w:r>
          </w:p>
        </w:tc>
        <w:tc>
          <w:tcPr>
            <w:tcW w:w="5528" w:type="dxa"/>
            <w:vAlign w:val="center"/>
          </w:tcPr>
          <w:p>
            <w:pPr>
              <w:jc w:val="center"/>
              <w:rPr>
                <w:rFonts w:ascii="仿宋_GB2312" w:eastAsia="仿宋_GB2312"/>
              </w:rPr>
            </w:pPr>
            <w:r>
              <w:rPr>
                <w:rFonts w:hint="eastAsia" w:ascii="仿宋_GB2312" w:eastAsia="仿宋_GB2312"/>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评级标准</w:t>
            </w:r>
          </w:p>
        </w:tc>
        <w:tc>
          <w:tcPr>
            <w:tcW w:w="5670" w:type="dxa"/>
            <w:vAlign w:val="center"/>
          </w:tcPr>
          <w:p>
            <w:pPr>
              <w:ind w:firstLine="420" w:firstLineChars="200"/>
              <w:rPr>
                <w:rFonts w:ascii="仿宋_GB2312" w:eastAsia="仿宋_GB2312"/>
              </w:rPr>
            </w:pPr>
            <w:r>
              <w:rPr>
                <w:rFonts w:hint="eastAsia" w:ascii="仿宋_GB2312" w:eastAsia="仿宋_GB2312"/>
              </w:rPr>
              <w:t>评级标准为：</w:t>
            </w:r>
          </w:p>
          <w:p>
            <w:pPr>
              <w:ind w:firstLine="420" w:firstLineChars="200"/>
              <w:rPr>
                <w:rFonts w:ascii="仿宋_GB2312" w:eastAsia="仿宋_GB2312"/>
              </w:rPr>
            </w:pPr>
            <w:r>
              <w:rPr>
                <w:rFonts w:hint="eastAsia" w:ascii="仿宋_GB2312" w:eastAsia="仿宋_GB2312"/>
              </w:rPr>
              <w:t>（1）当E为90（含）以上时，运行效果为优；</w:t>
            </w:r>
          </w:p>
          <w:p>
            <w:pPr>
              <w:ind w:firstLine="420" w:firstLineChars="200"/>
              <w:rPr>
                <w:rFonts w:ascii="仿宋_GB2312" w:eastAsia="仿宋_GB2312"/>
              </w:rPr>
            </w:pPr>
            <w:r>
              <w:rPr>
                <w:rFonts w:hint="eastAsia" w:ascii="仿宋_GB2312" w:eastAsia="仿宋_GB2312"/>
              </w:rPr>
              <w:t>（2）当E为80（含）-90时，运行效果为良；</w:t>
            </w:r>
          </w:p>
          <w:p>
            <w:pPr>
              <w:ind w:firstLine="420" w:firstLineChars="200"/>
              <w:rPr>
                <w:rFonts w:ascii="仿宋_GB2312" w:eastAsia="仿宋_GB2312"/>
              </w:rPr>
            </w:pPr>
            <w:r>
              <w:rPr>
                <w:rFonts w:hint="eastAsia" w:ascii="仿宋_GB2312" w:eastAsia="仿宋_GB2312"/>
              </w:rPr>
              <w:t>（3）当E为70（含）-80时，运行效果为中；</w:t>
            </w:r>
          </w:p>
          <w:p>
            <w:pPr>
              <w:ind w:firstLine="420" w:firstLineChars="200"/>
              <w:rPr>
                <w:rFonts w:ascii="仿宋_GB2312" w:eastAsia="仿宋_GB2312"/>
              </w:rPr>
            </w:pPr>
            <w:r>
              <w:rPr>
                <w:rFonts w:hint="eastAsia" w:ascii="仿宋_GB2312" w:eastAsia="仿宋_GB2312"/>
              </w:rPr>
              <w:t>（4）当E低于70时，运行效果为差；</w:t>
            </w:r>
          </w:p>
          <w:p>
            <w:pPr>
              <w:ind w:firstLine="420" w:firstLineChars="200"/>
              <w:rPr>
                <w:rFonts w:ascii="仿宋_GB2312" w:eastAsia="仿宋_GB2312"/>
              </w:rPr>
            </w:pPr>
            <w:r>
              <w:rPr>
                <w:rFonts w:hint="eastAsia" w:ascii="仿宋_GB2312" w:eastAsia="仿宋_GB2312"/>
              </w:rPr>
              <w:t>（5）当整周停工检修时，评级标准不变，得分A正常计算，得分B不引入隐患过少扣分，并显示停工检修。</w:t>
            </w:r>
          </w:p>
        </w:tc>
        <w:tc>
          <w:tcPr>
            <w:tcW w:w="5528" w:type="dxa"/>
            <w:vAlign w:val="center"/>
          </w:tcPr>
          <w:p>
            <w:pPr>
              <w:ind w:firstLine="420" w:firstLineChars="200"/>
              <w:rPr>
                <w:rFonts w:ascii="仿宋_GB2312" w:eastAsia="仿宋_GB2312"/>
              </w:rPr>
            </w:pPr>
            <w:r>
              <w:rPr>
                <w:rFonts w:hint="eastAsia" w:ascii="仿宋_GB2312" w:eastAsia="仿宋_GB2312"/>
              </w:rPr>
              <w:t>评级标准为：</w:t>
            </w:r>
          </w:p>
          <w:p>
            <w:pPr>
              <w:ind w:firstLine="420" w:firstLineChars="200"/>
              <w:jc w:val="left"/>
              <w:rPr>
                <w:rFonts w:ascii="仿宋_GB2312" w:eastAsia="仿宋_GB2312"/>
              </w:rPr>
            </w:pPr>
            <w:r>
              <w:rPr>
                <w:rFonts w:hint="eastAsia" w:ascii="仿宋_GB2312" w:eastAsia="仿宋_GB2312"/>
              </w:rPr>
              <w:t>（1）当E为90（含）以上时，运行效果为优；</w:t>
            </w:r>
          </w:p>
          <w:p>
            <w:pPr>
              <w:ind w:firstLine="420" w:firstLineChars="200"/>
              <w:jc w:val="left"/>
              <w:rPr>
                <w:rFonts w:ascii="仿宋_GB2312" w:eastAsia="仿宋_GB2312"/>
              </w:rPr>
            </w:pPr>
            <w:r>
              <w:rPr>
                <w:rFonts w:hint="eastAsia" w:ascii="仿宋_GB2312" w:eastAsia="仿宋_GB2312"/>
              </w:rPr>
              <w:t>（2）当E为80（含）-90时，运行效果为良；</w:t>
            </w:r>
          </w:p>
          <w:p>
            <w:pPr>
              <w:ind w:firstLine="420" w:firstLineChars="200"/>
              <w:jc w:val="left"/>
              <w:rPr>
                <w:rFonts w:ascii="仿宋_GB2312" w:eastAsia="仿宋_GB2312"/>
              </w:rPr>
            </w:pPr>
            <w:r>
              <w:rPr>
                <w:rFonts w:hint="eastAsia" w:ascii="仿宋_GB2312" w:eastAsia="仿宋_GB2312"/>
              </w:rPr>
              <w:t>（3）当E为70（含）-80时，运行效果为中；</w:t>
            </w:r>
          </w:p>
          <w:p>
            <w:pPr>
              <w:ind w:firstLine="420" w:firstLineChars="200"/>
              <w:jc w:val="left"/>
              <w:rPr>
                <w:rFonts w:ascii="仿宋_GB2312" w:eastAsia="仿宋_GB2312"/>
              </w:rPr>
            </w:pPr>
            <w:r>
              <w:rPr>
                <w:rFonts w:hint="eastAsia" w:ascii="仿宋_GB2312" w:eastAsia="仿宋_GB2312"/>
              </w:rPr>
              <w:t>（4）当E低于70时，运行效果为差。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排查任务完成情况</w:t>
            </w:r>
            <w:r>
              <w:rPr>
                <w:rFonts w:ascii="仿宋_GB2312" w:eastAsia="仿宋_GB2312"/>
              </w:rPr>
              <w:t>A</w:t>
            </w:r>
          </w:p>
        </w:tc>
        <w:tc>
          <w:tcPr>
            <w:tcW w:w="5670" w:type="dxa"/>
            <w:vAlign w:val="center"/>
          </w:tcPr>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共50分，计算公式如下：</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A=截止上周已经完成的排查的任务数量/截止上周计划完成的排查任务数量×50-包保责任履职不到位扣分</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其中：</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（1）当任务周期在多个周时，在</w:t>
            </w:r>
            <w:r>
              <w:rPr>
                <w:rFonts w:hint="eastAsia" w:ascii="仿宋_GB2312" w:eastAsia="仿宋_GB2312"/>
                <w:color w:val="C00000"/>
                <w:shd w:val="clear" w:color="auto" w:fill="auto"/>
              </w:rPr>
              <w:t>哪</w:t>
            </w:r>
            <w:r>
              <w:rPr>
                <w:rFonts w:hint="eastAsia" w:ascii="仿宋_GB2312" w:eastAsia="仿宋_GB2312"/>
                <w:color w:val="auto"/>
                <w:shd w:val="clear" w:color="auto" w:fill="auto"/>
              </w:rPr>
              <w:t>周完成则在“本周到期的排查任务数量”、“完成排查的任务数量”中增加该任务，如未完成则在最后一周在“本周到期的排查任务数量”中增加该任务。</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2）包保责任履职不到位扣分计算方式：本周截止，主要负责人排查任务完成率未达到100%扣10分，技术负责人排查任务完成率未达到100%扣5分，操作负责人排查任务完成率未达到100%扣5分，扣完50分为止。（扣分分值后续会根据情况进行调整）</w:t>
            </w:r>
          </w:p>
        </w:tc>
        <w:tc>
          <w:tcPr>
            <w:tcW w:w="5528" w:type="dxa"/>
            <w:vAlign w:val="center"/>
          </w:tcPr>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共50分，计算公式如下：</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A=截止上周已经完成的排查的任务数量/截止上周计划完成的排查任务数量×50-包保责任履职不到位扣分</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其中：</w:t>
            </w:r>
          </w:p>
          <w:p>
            <w:pPr>
              <w:ind w:firstLine="420" w:firstLineChars="200"/>
              <w:rPr>
                <w:rFonts w:ascii="仿宋_GB2312" w:eastAsia="仿宋_GB2312"/>
                <w:color w:val="auto"/>
                <w:highlight w:val="green"/>
                <w:shd w:val="clear" w:color="auto" w:fill="auto"/>
              </w:rPr>
            </w:pPr>
            <w:r>
              <w:rPr>
                <w:rFonts w:hint="eastAsia" w:ascii="仿宋_GB2312" w:eastAsia="仿宋_GB2312"/>
                <w:color w:val="auto"/>
                <w:shd w:val="clear" w:color="auto" w:fill="auto"/>
              </w:rPr>
              <w:t>（</w:t>
            </w:r>
            <w:r>
              <w:rPr>
                <w:rFonts w:ascii="仿宋_GB2312" w:eastAsia="仿宋_GB2312"/>
                <w:color w:val="auto"/>
                <w:shd w:val="clear" w:color="auto" w:fill="auto"/>
              </w:rPr>
              <w:t>1</w:t>
            </w:r>
            <w:r>
              <w:rPr>
                <w:rFonts w:hint="eastAsia" w:ascii="仿宋_GB2312" w:eastAsia="仿宋_GB2312"/>
                <w:color w:val="auto"/>
                <w:shd w:val="clear" w:color="auto" w:fill="auto"/>
              </w:rPr>
              <w:t>）包保责任履职不到位扣分计算方式：本周截止，每个重大危险源主要负责人排查任务完成率未达到100%扣</w:t>
            </w:r>
            <w:r>
              <w:rPr>
                <w:rFonts w:ascii="仿宋_GB2312" w:eastAsia="仿宋_GB2312"/>
                <w:color w:val="auto"/>
                <w:highlight w:val="red"/>
                <w:shd w:val="clear" w:color="auto" w:fill="auto"/>
              </w:rPr>
              <w:t>5</w:t>
            </w:r>
            <w:r>
              <w:rPr>
                <w:rFonts w:hint="eastAsia" w:ascii="仿宋_GB2312" w:eastAsia="仿宋_GB2312"/>
                <w:color w:val="auto"/>
                <w:shd w:val="clear" w:color="auto" w:fill="auto"/>
              </w:rPr>
              <w:t>分，技术负责人排查任务完成率未达到100%扣</w:t>
            </w:r>
            <w:r>
              <w:rPr>
                <w:rFonts w:ascii="仿宋_GB2312" w:eastAsia="仿宋_GB2312"/>
                <w:color w:val="auto"/>
                <w:highlight w:val="red"/>
                <w:shd w:val="clear" w:color="auto" w:fill="auto"/>
              </w:rPr>
              <w:t>3</w:t>
            </w:r>
            <w:r>
              <w:rPr>
                <w:rFonts w:hint="eastAsia" w:ascii="仿宋_GB2312" w:eastAsia="仿宋_GB2312"/>
                <w:color w:val="auto"/>
                <w:shd w:val="clear" w:color="auto" w:fill="auto"/>
              </w:rPr>
              <w:t>分，操作负责人排查任务完成率未达到100%扣</w:t>
            </w:r>
            <w:r>
              <w:rPr>
                <w:rFonts w:ascii="仿宋_GB2312" w:eastAsia="仿宋_GB2312"/>
                <w:color w:val="auto"/>
                <w:highlight w:val="red"/>
                <w:shd w:val="clear" w:color="auto" w:fill="auto"/>
              </w:rPr>
              <w:t>2</w:t>
            </w:r>
            <w:r>
              <w:rPr>
                <w:rFonts w:hint="eastAsia" w:ascii="仿宋_GB2312" w:eastAsia="仿宋_GB2312"/>
                <w:color w:val="auto"/>
                <w:shd w:val="clear" w:color="auto" w:fill="auto"/>
              </w:rPr>
              <w:t>分，扣至排查任务完成情况A分值为0为止。</w:t>
            </w:r>
          </w:p>
          <w:p>
            <w:pPr>
              <w:ind w:firstLine="420" w:firstLineChars="200"/>
              <w:rPr>
                <w:rFonts w:ascii="仿宋_GB2312" w:eastAsia="仿宋_GB2312"/>
                <w:color w:val="auto"/>
                <w:shd w:val="clear" w:color="auto" w:fill="auto"/>
              </w:rPr>
            </w:pPr>
            <w:r>
              <w:rPr>
                <w:rFonts w:ascii="仿宋_GB2312" w:eastAsia="仿宋_GB2312"/>
                <w:color w:val="auto"/>
                <w:shd w:val="clear" w:color="auto" w:fill="auto"/>
              </w:rPr>
              <w:t>（2）</w:t>
            </w:r>
            <w:r>
              <w:rPr>
                <w:rFonts w:ascii="仿宋_GB2312" w:eastAsia="仿宋_GB2312"/>
                <w:color w:val="auto"/>
                <w:highlight w:val="red"/>
                <w:shd w:val="clear" w:color="auto" w:fill="auto"/>
              </w:rPr>
              <w:t>风险分析单元“停用</w:t>
            </w:r>
            <w:r>
              <w:rPr>
                <w:rFonts w:hint="eastAsia" w:ascii="仿宋_GB2312" w:eastAsia="仿宋_GB2312"/>
                <w:color w:val="auto"/>
                <w:highlight w:val="red"/>
                <w:shd w:val="clear" w:color="auto" w:fill="auto"/>
              </w:rPr>
              <w:t>/检维修</w:t>
            </w:r>
            <w:r>
              <w:rPr>
                <w:rFonts w:ascii="仿宋_GB2312" w:eastAsia="仿宋_GB2312"/>
                <w:color w:val="auto"/>
                <w:highlight w:val="red"/>
                <w:shd w:val="clear" w:color="auto" w:fill="auto"/>
              </w:rPr>
              <w:t>”期间</w:t>
            </w:r>
            <w:r>
              <w:rPr>
                <w:rFonts w:hint="eastAsia" w:ascii="仿宋_GB2312" w:eastAsia="仿宋_GB2312"/>
                <w:color w:val="auto"/>
                <w:highlight w:val="red"/>
                <w:shd w:val="clear" w:color="auto" w:fill="auto"/>
              </w:rPr>
              <w:t>的</w:t>
            </w:r>
            <w:r>
              <w:rPr>
                <w:rFonts w:ascii="仿宋_GB2312" w:eastAsia="仿宋_GB2312"/>
                <w:color w:val="auto"/>
                <w:highlight w:val="red"/>
                <w:shd w:val="clear" w:color="auto" w:fill="auto"/>
              </w:rPr>
              <w:t>排查任务完成情况不纳入计算。</w:t>
            </w:r>
          </w:p>
          <w:p>
            <w:pPr>
              <w:ind w:firstLine="420" w:firstLineChars="200"/>
              <w:rPr>
                <w:rFonts w:hint="eastAsia" w:ascii="仿宋_GB2312" w:eastAsia="仿宋_GB2312"/>
                <w:color w:val="auto"/>
                <w:shd w:val="clear" w:color="auto" w:fill="auto"/>
              </w:rPr>
            </w:pPr>
            <w:r>
              <w:rPr>
                <w:rFonts w:ascii="仿宋_GB2312" w:eastAsia="仿宋_GB2312"/>
                <w:color w:val="auto"/>
                <w:shd w:val="clear" w:color="auto" w:fill="auto"/>
              </w:rPr>
              <w:t>（3）</w:t>
            </w:r>
            <w:r>
              <w:rPr>
                <w:rFonts w:ascii="仿宋_GB2312" w:eastAsia="仿宋_GB2312"/>
                <w:color w:val="auto"/>
                <w:highlight w:val="red"/>
                <w:shd w:val="clear" w:color="auto" w:fill="auto"/>
              </w:rPr>
              <w:t>重大危险源</w:t>
            </w:r>
            <w:r>
              <w:rPr>
                <w:rFonts w:hint="eastAsia" w:ascii="仿宋_GB2312" w:eastAsia="仿宋_GB2312"/>
                <w:color w:val="auto"/>
                <w:highlight w:val="red"/>
                <w:shd w:val="clear" w:color="auto" w:fill="auto"/>
              </w:rPr>
              <w:t>所有风险分析单元</w:t>
            </w:r>
            <w:r>
              <w:rPr>
                <w:rFonts w:ascii="仿宋_GB2312" w:eastAsia="仿宋_GB2312"/>
                <w:color w:val="auto"/>
                <w:highlight w:val="red"/>
                <w:shd w:val="clear" w:color="auto" w:fill="auto"/>
              </w:rPr>
              <w:t>“停用</w:t>
            </w:r>
            <w:r>
              <w:rPr>
                <w:rFonts w:hint="eastAsia" w:ascii="仿宋_GB2312" w:eastAsia="仿宋_GB2312"/>
                <w:color w:val="auto"/>
                <w:highlight w:val="red"/>
                <w:shd w:val="clear" w:color="auto" w:fill="auto"/>
              </w:rPr>
              <w:t>/检维修</w:t>
            </w:r>
            <w:r>
              <w:rPr>
                <w:rFonts w:ascii="仿宋_GB2312" w:eastAsia="仿宋_GB2312"/>
                <w:color w:val="auto"/>
                <w:highlight w:val="red"/>
                <w:shd w:val="clear" w:color="auto" w:fill="auto"/>
              </w:rPr>
              <w:t>”期间的包保责任任务完成情况不纳入计算</w:t>
            </w:r>
            <w:r>
              <w:rPr>
                <w:rFonts w:ascii="仿宋_GB2312" w:eastAsia="仿宋_GB2312"/>
                <w:color w:val="auto"/>
                <w:shd w:val="clear" w:color="auto" w:fill="auto"/>
              </w:rPr>
              <w:t>。</w:t>
            </w:r>
          </w:p>
          <w:p>
            <w:pPr>
              <w:rPr>
                <w:rFonts w:ascii="仿宋_GB2312" w:eastAsia="仿宋_GB2312"/>
                <w:color w:val="auto"/>
                <w:shd w:val="clear" w:color="auto" w:fill="auto"/>
              </w:rPr>
            </w:pPr>
            <w:r>
              <w:rPr>
                <w:rFonts w:hint="eastAsia" w:ascii="仿宋_GB2312" w:eastAsia="仿宋_GB2312"/>
                <w:color w:val="auto"/>
                <w:shd w:val="clear" w:color="auto" w:fill="auto"/>
              </w:rPr>
              <w:t xml:space="preserve"> </w:t>
            </w:r>
            <w:r>
              <w:rPr>
                <w:rFonts w:ascii="仿宋_GB2312" w:eastAsia="仿宋_GB2312"/>
                <w:color w:val="auto"/>
                <w:shd w:val="clear" w:color="auto" w:fill="auto"/>
              </w:rPr>
              <w:t xml:space="preserve">   （4）</w:t>
            </w:r>
            <w:r>
              <w:rPr>
                <w:rFonts w:hint="eastAsia" w:ascii="仿宋_GB2312" w:eastAsia="仿宋_GB2312"/>
                <w:color w:val="auto"/>
                <w:shd w:val="clear" w:color="auto" w:fill="auto"/>
              </w:rPr>
              <w:t>当任务周期</w:t>
            </w:r>
            <w:r>
              <w:rPr>
                <w:rFonts w:ascii="仿宋_GB2312" w:eastAsia="仿宋_GB2312"/>
                <w:color w:val="auto"/>
                <w:shd w:val="clear" w:color="auto" w:fill="auto"/>
              </w:rPr>
              <w:t>跨越</w:t>
            </w:r>
            <w:r>
              <w:rPr>
                <w:rFonts w:hint="eastAsia" w:ascii="仿宋_GB2312" w:eastAsia="仿宋_GB2312"/>
                <w:color w:val="auto"/>
                <w:shd w:val="clear" w:color="auto" w:fill="auto"/>
              </w:rPr>
              <w:t>多个周时，在最后一个周计算任务的完成情况，且如果任务未完成则在下一周期任务完成前保持为未完成状态</w:t>
            </w:r>
            <w:r>
              <w:rPr>
                <w:rFonts w:ascii="仿宋_GB2312" w:eastAsia="仿宋_GB2312"/>
                <w:color w:val="auto"/>
                <w:shd w:val="clear" w:color="auto" w:fil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隐患治理情况B</w:t>
            </w:r>
          </w:p>
        </w:tc>
        <w:tc>
          <w:tcPr>
            <w:tcW w:w="5670" w:type="dxa"/>
            <w:vAlign w:val="center"/>
          </w:tcPr>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共50分，计算公式如下：</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B=(整改截止日期在上周的隐患中已验收隐患数+非上周截止超期未整改隐患中上周已验收的隐患数)/(整改截止日期在上周的隐患数+非上周截止超期未整改隐患数)×50-隐患过少扣分</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其中：</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1）若“整改截止日期在上周的隐患数+非上周截止超期未整改隐患数”计算后等于0，则得分B计算时，(整改截止日期在上周的隐患中已验收隐患数+非上周截止超期未整改隐患中上周已验收的隐患数)/(整改截止日期在上周的隐患数+非上周截止超期未整改隐患数)按照100%计算。</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（2）隐患过少扣分计算方式：从最后一条隐患上报的日期开始计算，如果30日内未上传隐患，则该周扣10分，每超过七天多扣5分，扣完50分为止。（扣分分值后续会根据情况进行调整）</w:t>
            </w:r>
          </w:p>
        </w:tc>
        <w:tc>
          <w:tcPr>
            <w:tcW w:w="5528" w:type="dxa"/>
            <w:vAlign w:val="center"/>
          </w:tcPr>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共50分，计算公式如下：</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B=(整改截止日期在上周的隐患中已验收隐患数+非上周截止超期未整改隐患中上周已验收的隐患数)/(整改截止日期在上周的隐患数+非上周截止超期未整改隐患数)×50-隐患过少扣分</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其中：</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1）若“整改截止日期在上周的隐患数+非上周截止超期未整改隐患数”计算后等于0，则得分B计算时，(整改截止日期在上周的隐患中已验收隐患数+非上周截止超期未整改隐患中上周已验收的隐患数)/(整改截止日期在上周的隐患数+非上周截止超期未整改隐患数)按照100%计算。</w:t>
            </w:r>
          </w:p>
          <w:p>
            <w:pPr>
              <w:ind w:firstLine="420" w:firstLineChars="200"/>
              <w:rPr>
                <w:rFonts w:ascii="仿宋_GB2312" w:eastAsia="仿宋_GB2312"/>
                <w:color w:val="auto"/>
                <w:shd w:val="clear" w:color="auto" w:fill="auto"/>
              </w:rPr>
            </w:pPr>
            <w:r>
              <w:rPr>
                <w:rFonts w:hint="eastAsia" w:ascii="仿宋_GB2312" w:eastAsia="仿宋_GB2312"/>
                <w:color w:val="auto"/>
                <w:shd w:val="clear" w:color="auto" w:fill="auto"/>
              </w:rPr>
              <w:t>（2）隐患过少扣分计算方式：从最后一条隐患上报的日期开始计算，如果30日内未上传隐患，则该周扣10分，每超过七天多扣5分，扣完50分为止。（扣分分值后续会根据情况进行调整）</w:t>
            </w:r>
          </w:p>
          <w:p>
            <w:pPr>
              <w:ind w:firstLine="420" w:firstLineChars="200"/>
              <w:rPr>
                <w:rFonts w:hint="eastAsia" w:ascii="仿宋_GB2312" w:eastAsia="仿宋_GB2312"/>
                <w:color w:val="auto"/>
                <w:shd w:val="clear" w:color="auto" w:fill="auto"/>
              </w:rPr>
            </w:pPr>
            <w:r>
              <w:rPr>
                <w:rFonts w:ascii="仿宋_GB2312" w:eastAsia="仿宋_GB2312"/>
                <w:color w:val="auto"/>
                <w:shd w:val="clear" w:color="auto" w:fill="auto"/>
              </w:rPr>
              <w:t>（3）</w:t>
            </w:r>
            <w:r>
              <w:rPr>
                <w:rFonts w:hint="eastAsia" w:ascii="仿宋_GB2312" w:eastAsia="仿宋_GB2312"/>
                <w:color w:val="auto"/>
                <w:shd w:val="clear" w:color="auto" w:fill="auto"/>
              </w:rPr>
              <w:t>风险分析单元“停用/检维修”期间，隐患整改率正常计算。</w:t>
            </w:r>
          </w:p>
          <w:p>
            <w:pPr>
              <w:ind w:firstLine="420" w:firstLineChars="200"/>
              <w:rPr>
                <w:rFonts w:ascii="仿宋_GB2312" w:eastAsia="仿宋_GB2312"/>
                <w:color w:val="auto"/>
                <w:shd w:val="clear" w:color="auto" w:fill="auto"/>
              </w:rPr>
            </w:pPr>
            <w:r>
              <w:rPr>
                <w:rFonts w:hint="eastAsia" w:ascii="仿宋_GB2312" w:eastAsia="仿宋_GB2312"/>
                <w:color w:val="auto"/>
                <w:highlight w:val="red"/>
                <w:shd w:val="clear" w:color="auto" w:fill="auto"/>
              </w:rPr>
              <w:t>（</w:t>
            </w:r>
            <w:r>
              <w:rPr>
                <w:rFonts w:ascii="仿宋_GB2312" w:eastAsia="仿宋_GB2312"/>
                <w:color w:val="auto"/>
                <w:highlight w:val="red"/>
                <w:shd w:val="clear" w:color="auto" w:fill="auto"/>
              </w:rPr>
              <w:t>4</w:t>
            </w:r>
            <w:r>
              <w:rPr>
                <w:rFonts w:hint="eastAsia" w:ascii="仿宋_GB2312" w:eastAsia="仿宋_GB2312"/>
                <w:color w:val="auto"/>
                <w:highlight w:val="red"/>
                <w:shd w:val="clear" w:color="auto" w:fill="auto"/>
              </w:rPr>
              <w:t>）当企业所有风险分析单元整周“停用/检维修”时，“隐患过少扣分”停止计算，隐患未上报时长不累计增加。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否决项1</w:t>
            </w:r>
          </w:p>
        </w:tc>
        <w:tc>
          <w:tcPr>
            <w:tcW w:w="5670" w:type="dxa"/>
            <w:vAlign w:val="center"/>
          </w:tcPr>
          <w:p>
            <w:pPr>
              <w:ind w:firstLine="420" w:firstLineChars="200"/>
              <w:rPr>
                <w:rFonts w:ascii="仿宋_GB2312" w:eastAsia="仿宋_GB2312"/>
              </w:rPr>
            </w:pPr>
            <w:r>
              <w:rPr>
                <w:rFonts w:hint="eastAsia" w:ascii="仿宋_GB2312" w:eastAsia="仿宋_GB2312"/>
              </w:rPr>
              <w:t>（1）登记系统中登记的重大危险源和其他重点场所未全部完成安全风险分析。（企业应将所有非重大危险源装置/罐区/场所在“危险化学品登记综合服务系统-其他重点场所”中进行新增注册，再将相关装置风险分级管控和隐患排查任务清单上传至政府端。）</w:t>
            </w:r>
          </w:p>
        </w:tc>
        <w:tc>
          <w:tcPr>
            <w:tcW w:w="5528" w:type="dxa"/>
            <w:vAlign w:val="center"/>
          </w:tcPr>
          <w:p>
            <w:pPr>
              <w:ind w:firstLine="420" w:firstLineChars="200"/>
              <w:rPr>
                <w:rFonts w:ascii="仿宋_GB2312" w:eastAsia="仿宋_GB2312"/>
                <w:color w:val="auto"/>
              </w:rPr>
            </w:pPr>
            <w:r>
              <w:rPr>
                <w:rFonts w:hint="eastAsia" w:ascii="仿宋_GB2312" w:eastAsia="仿宋_GB2312"/>
                <w:color w:val="auto"/>
              </w:rPr>
              <w:t>（1）登记系统中登记的重大危险源未全部完成安全风险分析。（若企业建设范围包括非重大危险源，应将相应非重大危险源在“危险化学品登记综合服务系统-其他重点场所”中进行新增注册，再将相关装置风险分级管控和隐患排查任务清单上传至政府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w:t>
            </w:r>
            <w:r>
              <w:rPr>
                <w:rFonts w:ascii="仿宋_GB2312" w:eastAsia="仿宋_GB2312"/>
              </w:rPr>
              <w:t>2</w:t>
            </w:r>
          </w:p>
        </w:tc>
        <w:tc>
          <w:tcPr>
            <w:tcW w:w="5670" w:type="dxa"/>
            <w:vAlign w:val="center"/>
          </w:tcPr>
          <w:p>
            <w:pPr>
              <w:ind w:firstLine="420" w:firstLineChars="200"/>
              <w:rPr>
                <w:rFonts w:ascii="仿宋_GB2312" w:eastAsia="仿宋_GB2312"/>
              </w:rPr>
            </w:pPr>
            <w:r>
              <w:rPr>
                <w:rFonts w:hint="eastAsia" w:ascii="仿宋_GB2312" w:eastAsia="仿宋_GB2312"/>
              </w:rPr>
              <w:t>（2）各安全风险分析对象中管控措施数量或隐患排查内容数量去重后小于10条且管控措施类型未全部包含4种类型。</w:t>
            </w:r>
          </w:p>
        </w:tc>
        <w:tc>
          <w:tcPr>
            <w:tcW w:w="5528" w:type="dxa"/>
            <w:vAlign w:val="center"/>
          </w:tcPr>
          <w:p>
            <w:pPr>
              <w:ind w:firstLine="420" w:firstLineChars="200"/>
              <w:rPr>
                <w:rFonts w:ascii="仿宋_GB2312" w:eastAsia="仿宋_GB2312"/>
                <w:color w:val="auto"/>
              </w:rPr>
            </w:pPr>
            <w:r>
              <w:rPr>
                <w:rFonts w:hint="eastAsia" w:ascii="仿宋_GB2312" w:eastAsia="仿宋_GB2312"/>
                <w:color w:val="auto"/>
              </w:rPr>
              <w:t>（2）各重大危险源的管控措施数量或隐患排查内容数量去重后小于10条或管控措施类型未全部包含4种类型。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w:t>
            </w:r>
            <w:r>
              <w:rPr>
                <w:rFonts w:ascii="仿宋_GB2312" w:eastAsia="仿宋_GB2312"/>
              </w:rPr>
              <w:t>3</w:t>
            </w:r>
          </w:p>
        </w:tc>
        <w:tc>
          <w:tcPr>
            <w:tcW w:w="5670" w:type="dxa"/>
            <w:vAlign w:val="center"/>
          </w:tcPr>
          <w:p>
            <w:pPr>
              <w:ind w:firstLine="420" w:firstLineChars="200"/>
              <w:rPr>
                <w:rFonts w:ascii="仿宋_GB2312" w:eastAsia="仿宋_GB2312"/>
              </w:rPr>
            </w:pPr>
            <w:r>
              <w:rPr>
                <w:rFonts w:hint="eastAsia" w:ascii="仿宋_GB2312" w:eastAsia="仿宋_GB2312"/>
              </w:rPr>
              <w:t>（3）重大危险源排查任务清单中小时级任务均大于2小时。</w:t>
            </w:r>
          </w:p>
        </w:tc>
        <w:tc>
          <w:tcPr>
            <w:tcW w:w="5528" w:type="dxa"/>
            <w:vAlign w:val="center"/>
          </w:tcPr>
          <w:p>
            <w:pPr>
              <w:jc w:val="center"/>
              <w:rPr>
                <w:rFonts w:ascii="仿宋_GB2312" w:eastAsia="仿宋_GB2312"/>
                <w:color w:val="auto"/>
              </w:rPr>
            </w:pPr>
            <w:r>
              <w:rPr>
                <w:rFonts w:ascii="仿宋_GB2312" w:eastAsia="仿宋_GB2312"/>
                <w:color w:val="auto"/>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w:t>
            </w:r>
            <w:r>
              <w:rPr>
                <w:rFonts w:ascii="仿宋_GB2312" w:eastAsia="仿宋_GB2312"/>
              </w:rPr>
              <w:t>4</w:t>
            </w:r>
          </w:p>
        </w:tc>
        <w:tc>
          <w:tcPr>
            <w:tcW w:w="5670" w:type="dxa"/>
            <w:vAlign w:val="center"/>
          </w:tcPr>
          <w:p>
            <w:pPr>
              <w:ind w:firstLine="420" w:firstLineChars="200"/>
              <w:rPr>
                <w:rFonts w:ascii="仿宋_GB2312" w:eastAsia="仿宋_GB2312"/>
              </w:rPr>
            </w:pPr>
            <w:r>
              <w:rPr>
                <w:rFonts w:hint="eastAsia" w:ascii="仿宋_GB2312" w:eastAsia="仿宋_GB2312"/>
              </w:rPr>
              <w:t>（4）安全风险分析对象重大危险源缺少任意类型包保责任人任务。</w:t>
            </w:r>
          </w:p>
        </w:tc>
        <w:tc>
          <w:tcPr>
            <w:tcW w:w="5528" w:type="dxa"/>
            <w:vAlign w:val="center"/>
          </w:tcPr>
          <w:p>
            <w:pPr>
              <w:jc w:val="center"/>
              <w:rPr>
                <w:rFonts w:ascii="仿宋_GB2312" w:eastAsia="仿宋_GB2312"/>
                <w:color w:val="auto"/>
              </w:rPr>
            </w:pPr>
            <w:r>
              <w:rPr>
                <w:rFonts w:ascii="仿宋_GB2312" w:eastAsia="仿宋_GB2312"/>
                <w:color w:val="auto"/>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w:t>
            </w:r>
            <w:r>
              <w:rPr>
                <w:rFonts w:ascii="仿宋_GB2312" w:eastAsia="仿宋_GB2312"/>
              </w:rPr>
              <w:t>5</w:t>
            </w:r>
          </w:p>
        </w:tc>
        <w:tc>
          <w:tcPr>
            <w:tcW w:w="5670" w:type="dxa"/>
            <w:vAlign w:val="center"/>
          </w:tcPr>
          <w:p>
            <w:pPr>
              <w:ind w:firstLine="420" w:firstLineChars="200"/>
              <w:rPr>
                <w:rFonts w:ascii="仿宋_GB2312" w:eastAsia="仿宋_GB2312"/>
              </w:rPr>
            </w:pPr>
            <w:r>
              <w:rPr>
                <w:rFonts w:hint="eastAsia" w:ascii="仿宋_GB2312" w:eastAsia="仿宋_GB2312"/>
              </w:rPr>
              <w:t>（5）本周有重大隐患超期未整改。</w:t>
            </w:r>
          </w:p>
        </w:tc>
        <w:tc>
          <w:tcPr>
            <w:tcW w:w="5528" w:type="dxa"/>
            <w:vAlign w:val="center"/>
          </w:tcPr>
          <w:p>
            <w:pPr>
              <w:jc w:val="center"/>
              <w:rPr>
                <w:rFonts w:ascii="仿宋_GB2312" w:eastAsia="仿宋_GB2312"/>
                <w:color w:val="auto"/>
              </w:rPr>
            </w:pPr>
            <w:r>
              <w:rPr>
                <w:rFonts w:ascii="仿宋_GB2312" w:eastAsia="仿宋_GB2312"/>
                <w:color w:val="auto"/>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vAlign w:val="center"/>
          </w:tcPr>
          <w:p>
            <w:pPr>
              <w:jc w:val="center"/>
              <w:rPr>
                <w:rFonts w:ascii="仿宋_GB2312" w:eastAsia="仿宋_GB2312"/>
              </w:rPr>
            </w:pPr>
            <w:r>
              <w:rPr>
                <w:rFonts w:hint="eastAsia" w:ascii="仿宋_GB2312" w:eastAsia="仿宋_GB2312"/>
              </w:rPr>
              <w:t>否决项</w:t>
            </w:r>
            <w:r>
              <w:rPr>
                <w:rFonts w:ascii="仿宋_GB2312" w:eastAsia="仿宋_GB2312"/>
              </w:rPr>
              <w:t>6</w:t>
            </w:r>
          </w:p>
        </w:tc>
        <w:tc>
          <w:tcPr>
            <w:tcW w:w="5670" w:type="dxa"/>
            <w:vAlign w:val="center"/>
          </w:tcPr>
          <w:p>
            <w:pPr>
              <w:ind w:firstLine="420" w:firstLineChars="200"/>
              <w:rPr>
                <w:rFonts w:ascii="仿宋_GB2312" w:eastAsia="仿宋_GB2312"/>
              </w:rPr>
            </w:pPr>
            <w:r>
              <w:rPr>
                <w:rFonts w:hint="eastAsia" w:ascii="仿宋_GB2312" w:eastAsia="仿宋_GB2312"/>
              </w:rPr>
              <w:t>（6）移动终端数量少于安全风险分析对象数量。</w:t>
            </w:r>
          </w:p>
        </w:tc>
        <w:tc>
          <w:tcPr>
            <w:tcW w:w="5528" w:type="dxa"/>
            <w:vAlign w:val="center"/>
          </w:tcPr>
          <w:p>
            <w:pPr>
              <w:ind w:firstLine="420" w:firstLineChars="200"/>
              <w:rPr>
                <w:rFonts w:ascii="仿宋_GB2312" w:eastAsia="仿宋_GB2312"/>
                <w:color w:val="auto"/>
              </w:rPr>
            </w:pPr>
            <w:r>
              <w:rPr>
                <w:rFonts w:hint="eastAsia" w:ascii="仿宋_GB2312" w:eastAsia="仿宋_GB2312"/>
                <w:color w:val="auto"/>
                <w:highlight w:val="red"/>
              </w:rPr>
              <w:t>（6）经营企业移动终端数量少于3部；除经营企业外，其他企业移动终端数量少于企业正常运行的重大危险源数量（企业正常运行的重大危险源数量＝企业重大危险源数量-整周“停用/检维修”的重大危险源数量）；当企业所有风险分析单元整周“停用/检维修”时，该否决项停止计算。</w:t>
            </w:r>
            <w:r>
              <w:rPr>
                <w:rFonts w:ascii="仿宋_GB2312" w:eastAsia="仿宋_GB2312"/>
                <w:color w:val="auto"/>
              </w:rPr>
              <w:t xml:space="preserve"> </w:t>
            </w:r>
          </w:p>
        </w:tc>
      </w:tr>
    </w:tbl>
    <w:p/>
    <w:sectPr>
      <w:pgSz w:w="16838" w:h="11906" w:orient="landscape"/>
      <w:pgMar w:top="1588" w:right="1961" w:bottom="1474" w:left="1847" w:header="851" w:footer="992" w:gutter="0"/>
      <w:cols w:space="425" w:num="1"/>
      <w:docGrid w:type="linesAndChar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auto"/>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lkZTAzNWNmNjMwYjJhOTI0Nzg4NjBlZTJkY2UzYmYifQ=="/>
  </w:docVars>
  <w:rsids>
    <w:rsidRoot w:val="00510CA6"/>
    <w:rsid w:val="00032F33"/>
    <w:rsid w:val="000742C2"/>
    <w:rsid w:val="000F4447"/>
    <w:rsid w:val="001026FC"/>
    <w:rsid w:val="00274C1E"/>
    <w:rsid w:val="0027698E"/>
    <w:rsid w:val="002B7D5A"/>
    <w:rsid w:val="002E3517"/>
    <w:rsid w:val="003315D4"/>
    <w:rsid w:val="00336F76"/>
    <w:rsid w:val="004648CE"/>
    <w:rsid w:val="00510CA6"/>
    <w:rsid w:val="00516F63"/>
    <w:rsid w:val="00586036"/>
    <w:rsid w:val="005D3ECD"/>
    <w:rsid w:val="00660109"/>
    <w:rsid w:val="00666B09"/>
    <w:rsid w:val="00694D50"/>
    <w:rsid w:val="006A47EE"/>
    <w:rsid w:val="007312D1"/>
    <w:rsid w:val="00755133"/>
    <w:rsid w:val="00810C2A"/>
    <w:rsid w:val="00854570"/>
    <w:rsid w:val="00882499"/>
    <w:rsid w:val="00884FCE"/>
    <w:rsid w:val="00946D68"/>
    <w:rsid w:val="009B0884"/>
    <w:rsid w:val="00AE0189"/>
    <w:rsid w:val="00BB5D3A"/>
    <w:rsid w:val="00C02D58"/>
    <w:rsid w:val="00C310DF"/>
    <w:rsid w:val="00C53259"/>
    <w:rsid w:val="00D035BF"/>
    <w:rsid w:val="00D0771A"/>
    <w:rsid w:val="00D96156"/>
    <w:rsid w:val="00DA2872"/>
    <w:rsid w:val="00E53650"/>
    <w:rsid w:val="00EB704B"/>
    <w:rsid w:val="00F03337"/>
    <w:rsid w:val="00F56B67"/>
    <w:rsid w:val="00F70108"/>
    <w:rsid w:val="0C924266"/>
    <w:rsid w:val="20F33AE2"/>
    <w:rsid w:val="3F8042CD"/>
    <w:rsid w:val="77401111"/>
    <w:rsid w:val="DDFFC4BC"/>
    <w:rsid w:val="DFF79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4"/>
    <w:basedOn w:val="1"/>
    <w:next w:val="1"/>
    <w:link w:val="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标题 4 Char"/>
    <w:basedOn w:val="8"/>
    <w:link w:val="2"/>
    <w:semiHidden/>
    <w:qFormat/>
    <w:uiPriority w:val="9"/>
    <w:rPr>
      <w:rFonts w:asciiTheme="majorHAnsi" w:hAnsiTheme="majorHAnsi" w:eastAsiaTheme="majorEastAsia" w:cstheme="majorBidi"/>
      <w:b/>
      <w:bCs/>
      <w:sz w:val="28"/>
      <w:szCs w:val="28"/>
    </w:rPr>
  </w:style>
  <w:style w:type="character" w:customStyle="1" w:styleId="10">
    <w:name w:val="批注框文本 Char"/>
    <w:basedOn w:val="8"/>
    <w:link w:val="3"/>
    <w:semiHidden/>
    <w:qFormat/>
    <w:uiPriority w:val="99"/>
    <w:rPr>
      <w:rFonts w:ascii="Calibri" w:hAnsi="Calibri" w:eastAsia="宋体" w:cs="Times New Roman"/>
      <w:sz w:val="18"/>
      <w:szCs w:val="18"/>
    </w:rPr>
  </w:style>
  <w:style w:type="character" w:customStyle="1" w:styleId="11">
    <w:name w:val="页眉 Char"/>
    <w:basedOn w:val="8"/>
    <w:link w:val="5"/>
    <w:qFormat/>
    <w:uiPriority w:val="99"/>
    <w:rPr>
      <w:rFonts w:ascii="Calibri" w:hAnsi="Calibri" w:eastAsia="宋体" w:cs="Times New Roman"/>
      <w:sz w:val="18"/>
      <w:szCs w:val="18"/>
    </w:rPr>
  </w:style>
  <w:style w:type="character" w:customStyle="1" w:styleId="12">
    <w:name w:val="页脚 Char"/>
    <w:basedOn w:val="8"/>
    <w:link w:val="4"/>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Sinopec</Company>
  <Pages>4</Pages>
  <Words>2260</Words>
  <Characters>2346</Characters>
  <Lines>17</Lines>
  <Paragraphs>4</Paragraphs>
  <TotalTime>7</TotalTime>
  <ScaleCrop>false</ScaleCrop>
  <LinksUpToDate>false</LinksUpToDate>
  <CharactersWithSpaces>2351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2023-09-20T01:00:00Z</dcterms:created>
  <dc:creator>zhangy969</dc:creator>
  <cp:lastModifiedBy>☆独家记忆☆</cp:lastModifiedBy>
  <dcterms:modified xsi:type="dcterms:W3CDTF">2023-10-31T01:46:05Z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95145BCE07CD4D4BBBBF93169E874D8C_13</vt:lpwstr>
  </property>
</Properties>
</file>