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75A" w:rsidRPr="00E85A28" w:rsidRDefault="001262D8" w:rsidP="003135CE">
      <w:pPr>
        <w:jc w:val="center"/>
        <w:rPr>
          <w:rFonts w:ascii="Times New Roman" w:hAnsi="Times New Roman" w:cs="Times New Roman"/>
          <w:b/>
          <w:bCs/>
          <w:color w:val="000000"/>
          <w:sz w:val="32"/>
          <w:szCs w:val="32"/>
          <w:u w:val="single"/>
          <w:lang w:val="en-GB"/>
        </w:rPr>
      </w:pPr>
      <w:r w:rsidRPr="00E85A28">
        <w:rPr>
          <w:rFonts w:ascii="Times New Roman" w:hAnsi="Times New Roman" w:cs="Times New Roman"/>
          <w:b/>
          <w:bCs/>
          <w:color w:val="000000"/>
          <w:sz w:val="32"/>
          <w:szCs w:val="32"/>
          <w:u w:val="single"/>
          <w:lang w:val="en-GB"/>
        </w:rPr>
        <w:t>Summary of Results</w:t>
      </w:r>
    </w:p>
    <w:p w:rsidR="001262D8" w:rsidRPr="001262D8" w:rsidRDefault="001262D8" w:rsidP="001262D8">
      <w:pPr>
        <w:jc w:val="center"/>
        <w:rPr>
          <w:rFonts w:ascii="Times New Roman" w:hAnsi="Times New Roman" w:cs="Times New Roman"/>
          <w:b/>
          <w:bCs/>
          <w:color w:val="000000"/>
          <w:sz w:val="32"/>
          <w:szCs w:val="32"/>
          <w:lang w:val="en-GB"/>
        </w:rPr>
      </w:pPr>
    </w:p>
    <w:p w:rsidR="001262D8" w:rsidRDefault="001262D8" w:rsidP="001262D8">
      <w:pPr>
        <w:jc w:val="center"/>
      </w:pPr>
    </w:p>
    <w:p w:rsidR="0008075A" w:rsidRDefault="0008075A" w:rsidP="003278DF">
      <w:r w:rsidRPr="0008075A">
        <w:rPr>
          <w:noProof/>
        </w:rPr>
        <w:drawing>
          <wp:inline distT="0" distB="0" distL="0" distR="0" wp14:anchorId="74FAD765" wp14:editId="0038BA38">
            <wp:extent cx="5392615" cy="3718550"/>
            <wp:effectExtent l="12700" t="12700" r="17780" b="15875"/>
            <wp:docPr id="33707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76748" name=""/>
                    <pic:cNvPicPr/>
                  </pic:nvPicPr>
                  <pic:blipFill>
                    <a:blip r:embed="rId5"/>
                    <a:stretch>
                      <a:fillRect/>
                    </a:stretch>
                  </pic:blipFill>
                  <pic:spPr>
                    <a:xfrm>
                      <a:off x="0" y="0"/>
                      <a:ext cx="5418475" cy="3736382"/>
                    </a:xfrm>
                    <a:prstGeom prst="rect">
                      <a:avLst/>
                    </a:prstGeom>
                    <a:ln>
                      <a:solidFill>
                        <a:schemeClr val="tx1"/>
                      </a:solidFill>
                    </a:ln>
                  </pic:spPr>
                </pic:pic>
              </a:graphicData>
            </a:graphic>
          </wp:inline>
        </w:drawing>
      </w:r>
    </w:p>
    <w:p w:rsidR="00E85A28" w:rsidRPr="00E85A28" w:rsidRDefault="00E85A28" w:rsidP="00E85A28">
      <w:pPr>
        <w:jc w:val="center"/>
        <w:rPr>
          <w:i/>
          <w:iCs/>
        </w:rPr>
      </w:pPr>
      <w:r w:rsidRPr="00E85A28">
        <w:rPr>
          <w:i/>
          <w:iCs/>
        </w:rPr>
        <w:t xml:space="preserve">Figure 1. </w:t>
      </w:r>
    </w:p>
    <w:p w:rsidR="00C700DA" w:rsidRPr="00E85A28" w:rsidRDefault="00C700DA" w:rsidP="00E85A28">
      <w:pPr>
        <w:pStyle w:val="NormalWeb"/>
        <w:shd w:val="clear" w:color="auto" w:fill="FFFFFF"/>
        <w:jc w:val="both"/>
      </w:pPr>
      <w:r w:rsidRPr="00E85A28">
        <w:t xml:space="preserve">Since 2000, the overall prevalence of stunting has declined around the </w:t>
      </w:r>
      <w:r w:rsidR="00E85A28" w:rsidRPr="00E85A28">
        <w:t xml:space="preserve">developing </w:t>
      </w:r>
      <w:r w:rsidRPr="00E85A28">
        <w:t xml:space="preserve">world. </w:t>
      </w:r>
      <w:r w:rsidR="00E85A28">
        <w:t>As observed in Figure 1, s</w:t>
      </w:r>
      <w:r w:rsidRPr="00E85A28">
        <w:t xml:space="preserve">tunting in Lower &amp; Middle Income countries (LMICs) has declined from a two-decade high value of 43.2% in 2000 to 31.5% in 2022 in line with the Sustainable Development Goals framework under SDG 2 and SDG target 2.2: “By 2030, end all forms of malnutrition, including achieving, by 2025, the internationally agreed targets on stunting and wasting in children under 5 years of age, and address the nutritional needs of adolescent girls, pregnant and lactating women and older persons” (Alderman et.al, 2016). Zimbabwe on the other hand, has been outperforming both LMICs and SSA regions in this indicator. Up until 2006, stunting level rose to a </w:t>
      </w:r>
      <w:r w:rsidR="00092285" w:rsidRPr="00E85A28">
        <w:t>decadal high of 35% only to fall steeply to 21.6% in 2022.</w:t>
      </w:r>
    </w:p>
    <w:p w:rsidR="00C700DA" w:rsidRDefault="00C700DA" w:rsidP="003278DF"/>
    <w:tbl>
      <w:tblPr>
        <w:tblStyle w:val="tabletemplate"/>
        <w:tblW w:w="5000" w:type="pct"/>
        <w:tblLook w:val="0420" w:firstRow="1" w:lastRow="0" w:firstColumn="0" w:lastColumn="0" w:noHBand="0" w:noVBand="1"/>
      </w:tblPr>
      <w:tblGrid>
        <w:gridCol w:w="812"/>
        <w:gridCol w:w="4963"/>
        <w:gridCol w:w="786"/>
        <w:gridCol w:w="2465"/>
      </w:tblGrid>
      <w:tr w:rsidR="001262D8" w:rsidTr="00AA4325">
        <w:trPr>
          <w:cnfStyle w:val="100000000000" w:firstRow="1" w:lastRow="0" w:firstColumn="0" w:lastColumn="0" w:oddVBand="0" w:evenVBand="0" w:oddHBand="0" w:evenHBand="0" w:firstRowFirstColumn="0" w:firstRowLastColumn="0" w:lastRowFirstColumn="0" w:lastRowLastColumn="0"/>
          <w:tblHeader/>
        </w:trPr>
        <w:tc>
          <w:tcPr>
            <w:tcW w:w="0" w:type="auto"/>
          </w:tcPr>
          <w:p w:rsidR="001262D8" w:rsidRDefault="00E85A28" w:rsidP="00AA4325">
            <w:r>
              <w:t>I</w:t>
            </w:r>
            <w:r w:rsidR="001262D8">
              <w:t>so3c</w:t>
            </w:r>
          </w:p>
        </w:tc>
        <w:tc>
          <w:tcPr>
            <w:tcW w:w="0" w:type="auto"/>
          </w:tcPr>
          <w:p w:rsidR="001262D8" w:rsidRDefault="001262D8" w:rsidP="00AA4325">
            <w:r>
              <w:t>Region</w:t>
            </w:r>
          </w:p>
        </w:tc>
        <w:tc>
          <w:tcPr>
            <w:tcW w:w="0" w:type="auto"/>
          </w:tcPr>
          <w:p w:rsidR="001262D8" w:rsidRDefault="001262D8" w:rsidP="00AA4325">
            <w:r>
              <w:t>Year</w:t>
            </w:r>
          </w:p>
        </w:tc>
        <w:tc>
          <w:tcPr>
            <w:tcW w:w="0" w:type="auto"/>
          </w:tcPr>
          <w:p w:rsidR="001262D8" w:rsidRDefault="001262D8" w:rsidP="00AA4325">
            <w:r>
              <w:t>Stunting Prevalence</w:t>
            </w:r>
          </w:p>
        </w:tc>
      </w:tr>
      <w:tr w:rsidR="001262D8" w:rsidTr="00AA4325">
        <w:tc>
          <w:tcPr>
            <w:tcW w:w="0" w:type="auto"/>
          </w:tcPr>
          <w:p w:rsidR="001262D8" w:rsidRDefault="001262D8" w:rsidP="00AA4325">
            <w:r>
              <w:t>LMY</w:t>
            </w:r>
          </w:p>
        </w:tc>
        <w:tc>
          <w:tcPr>
            <w:tcW w:w="0" w:type="auto"/>
          </w:tcPr>
          <w:p w:rsidR="001262D8" w:rsidRDefault="001262D8" w:rsidP="00AA4325">
            <w:r>
              <w:t>Low &amp; middle income</w:t>
            </w:r>
          </w:p>
        </w:tc>
        <w:tc>
          <w:tcPr>
            <w:tcW w:w="0" w:type="auto"/>
          </w:tcPr>
          <w:p w:rsidR="001262D8" w:rsidRDefault="001262D8" w:rsidP="00AA4325">
            <w:r>
              <w:t>2022</w:t>
            </w:r>
          </w:p>
        </w:tc>
        <w:tc>
          <w:tcPr>
            <w:tcW w:w="0" w:type="auto"/>
          </w:tcPr>
          <w:p w:rsidR="001262D8" w:rsidRDefault="001262D8" w:rsidP="00AA4325">
            <w:r>
              <w:t>24.28000</w:t>
            </w:r>
          </w:p>
        </w:tc>
      </w:tr>
      <w:tr w:rsidR="001262D8" w:rsidTr="00AA4325">
        <w:tc>
          <w:tcPr>
            <w:tcW w:w="0" w:type="auto"/>
          </w:tcPr>
          <w:p w:rsidR="001262D8" w:rsidRDefault="001262D8" w:rsidP="00AA4325">
            <w:r>
              <w:t>SSA</w:t>
            </w:r>
          </w:p>
        </w:tc>
        <w:tc>
          <w:tcPr>
            <w:tcW w:w="0" w:type="auto"/>
          </w:tcPr>
          <w:p w:rsidR="001262D8" w:rsidRDefault="001262D8" w:rsidP="00AA4325">
            <w:r>
              <w:t>Sub-Saharan Africa (excluding high income)</w:t>
            </w:r>
          </w:p>
        </w:tc>
        <w:tc>
          <w:tcPr>
            <w:tcW w:w="0" w:type="auto"/>
          </w:tcPr>
          <w:p w:rsidR="001262D8" w:rsidRDefault="001262D8" w:rsidP="00AA4325">
            <w:r>
              <w:t>2022</w:t>
            </w:r>
          </w:p>
        </w:tc>
        <w:tc>
          <w:tcPr>
            <w:tcW w:w="0" w:type="auto"/>
          </w:tcPr>
          <w:p w:rsidR="001262D8" w:rsidRDefault="001262D8" w:rsidP="00AA4325">
            <w:r>
              <w:t>31.52079</w:t>
            </w:r>
          </w:p>
        </w:tc>
      </w:tr>
      <w:tr w:rsidR="001262D8" w:rsidTr="00AA4325">
        <w:tc>
          <w:tcPr>
            <w:tcW w:w="0" w:type="auto"/>
          </w:tcPr>
          <w:p w:rsidR="001262D8" w:rsidRDefault="001262D8" w:rsidP="00AA4325">
            <w:r>
              <w:t>ZWE</w:t>
            </w:r>
          </w:p>
        </w:tc>
        <w:tc>
          <w:tcPr>
            <w:tcW w:w="0" w:type="auto"/>
          </w:tcPr>
          <w:p w:rsidR="001262D8" w:rsidRDefault="001262D8" w:rsidP="00AA4325">
            <w:r>
              <w:t>Zimbabwe</w:t>
            </w:r>
          </w:p>
        </w:tc>
        <w:tc>
          <w:tcPr>
            <w:tcW w:w="0" w:type="auto"/>
          </w:tcPr>
          <w:p w:rsidR="001262D8" w:rsidRDefault="001262D8" w:rsidP="00AA4325">
            <w:r>
              <w:t>2022</w:t>
            </w:r>
          </w:p>
        </w:tc>
        <w:tc>
          <w:tcPr>
            <w:tcW w:w="0" w:type="auto"/>
          </w:tcPr>
          <w:p w:rsidR="001262D8" w:rsidRDefault="001262D8" w:rsidP="00AA4325">
            <w:r>
              <w:t>21.60000</w:t>
            </w:r>
          </w:p>
        </w:tc>
      </w:tr>
    </w:tbl>
    <w:p w:rsidR="0008075A" w:rsidRPr="00E85A28" w:rsidRDefault="00E85A28" w:rsidP="00E85A28">
      <w:pPr>
        <w:jc w:val="center"/>
        <w:rPr>
          <w:i/>
          <w:iCs/>
        </w:rPr>
      </w:pPr>
      <w:r w:rsidRPr="00E85A28">
        <w:rPr>
          <w:i/>
          <w:iCs/>
        </w:rPr>
        <w:t>Table 1</w:t>
      </w:r>
    </w:p>
    <w:p w:rsidR="00092285" w:rsidRDefault="00092285" w:rsidP="003278DF"/>
    <w:p w:rsidR="0008075A" w:rsidRPr="00F94703" w:rsidRDefault="008F3B83" w:rsidP="00F94703">
      <w:pPr>
        <w:jc w:val="both"/>
        <w:rPr>
          <w:rFonts w:ascii="Times New Roman" w:hAnsi="Times New Roman" w:cs="Times New Roman"/>
        </w:rPr>
      </w:pPr>
      <w:r w:rsidRPr="00F94703">
        <w:rPr>
          <w:rFonts w:ascii="Times New Roman" w:hAnsi="Times New Roman" w:cs="Times New Roman"/>
        </w:rPr>
        <w:t xml:space="preserve">It is well </w:t>
      </w:r>
      <w:r w:rsidR="00E85A28" w:rsidRPr="00F94703">
        <w:rPr>
          <w:rFonts w:ascii="Times New Roman" w:hAnsi="Times New Roman" w:cs="Times New Roman"/>
        </w:rPr>
        <w:t>documented</w:t>
      </w:r>
      <w:r w:rsidRPr="00F94703">
        <w:rPr>
          <w:rFonts w:ascii="Times New Roman" w:hAnsi="Times New Roman" w:cs="Times New Roman"/>
        </w:rPr>
        <w:t xml:space="preserve"> that undernourishment has dire effects on the cognitive and physical abilities of children (UNICEF, WHO, World Bank 2015). Indicators for literacy and mathematical ability among children in Zimbabwe rises slightly from 0.15 levels to when they are 36 months old to 0.2 levels in 58 months which is still very low. </w:t>
      </w:r>
      <w:r w:rsidR="007C4659" w:rsidRPr="00F94703">
        <w:rPr>
          <w:rFonts w:ascii="Times New Roman" w:hAnsi="Times New Roman" w:cs="Times New Roman"/>
        </w:rPr>
        <w:t>Even though the learning index</w:t>
      </w:r>
      <w:r w:rsidR="00085F49" w:rsidRPr="00F94703">
        <w:rPr>
          <w:rFonts w:ascii="Times New Roman" w:hAnsi="Times New Roman" w:cs="Times New Roman"/>
        </w:rPr>
        <w:t xml:space="preserve"> (Figure 2)</w:t>
      </w:r>
      <w:r w:rsidR="007C4659" w:rsidRPr="00F94703">
        <w:rPr>
          <w:rFonts w:ascii="Times New Roman" w:hAnsi="Times New Roman" w:cs="Times New Roman"/>
        </w:rPr>
        <w:t xml:space="preserve"> hovers largely between the range of 0.75- 0.85 levels, b</w:t>
      </w:r>
      <w:r w:rsidRPr="00F94703">
        <w:rPr>
          <w:rFonts w:ascii="Times New Roman" w:hAnsi="Times New Roman" w:cs="Times New Roman"/>
        </w:rPr>
        <w:t xml:space="preserve">oth physical </w:t>
      </w:r>
      <w:r w:rsidR="00E85A28" w:rsidRPr="00F94703">
        <w:rPr>
          <w:rFonts w:ascii="Times New Roman" w:hAnsi="Times New Roman" w:cs="Times New Roman"/>
        </w:rPr>
        <w:t xml:space="preserve">(Figure </w:t>
      </w:r>
      <w:r w:rsidR="00085F49" w:rsidRPr="00F94703">
        <w:rPr>
          <w:rFonts w:ascii="Times New Roman" w:hAnsi="Times New Roman" w:cs="Times New Roman"/>
        </w:rPr>
        <w:lastRenderedPageBreak/>
        <w:t>3</w:t>
      </w:r>
      <w:r w:rsidR="00E85A28" w:rsidRPr="00F94703">
        <w:rPr>
          <w:rFonts w:ascii="Times New Roman" w:hAnsi="Times New Roman" w:cs="Times New Roman"/>
        </w:rPr>
        <w:t xml:space="preserve">) </w:t>
      </w:r>
      <w:r w:rsidRPr="00F94703">
        <w:rPr>
          <w:rFonts w:ascii="Times New Roman" w:hAnsi="Times New Roman" w:cs="Times New Roman"/>
        </w:rPr>
        <w:t xml:space="preserve">and </w:t>
      </w:r>
      <w:r w:rsidR="007C4659" w:rsidRPr="00F94703">
        <w:rPr>
          <w:rFonts w:ascii="Times New Roman" w:hAnsi="Times New Roman" w:cs="Times New Roman"/>
        </w:rPr>
        <w:t xml:space="preserve">socio-emotional </w:t>
      </w:r>
      <w:r w:rsidR="00085F49" w:rsidRPr="00F94703">
        <w:rPr>
          <w:rFonts w:ascii="Times New Roman" w:hAnsi="Times New Roman" w:cs="Times New Roman"/>
        </w:rPr>
        <w:t xml:space="preserve">(Figure </w:t>
      </w:r>
      <w:r w:rsidR="00085F49" w:rsidRPr="00F94703">
        <w:rPr>
          <w:rFonts w:ascii="Times New Roman" w:hAnsi="Times New Roman" w:cs="Times New Roman"/>
        </w:rPr>
        <w:t>4</w:t>
      </w:r>
      <w:r w:rsidR="00085F49" w:rsidRPr="00F94703">
        <w:rPr>
          <w:rFonts w:ascii="Times New Roman" w:hAnsi="Times New Roman" w:cs="Times New Roman"/>
        </w:rPr>
        <w:t>)</w:t>
      </w:r>
      <w:r w:rsidR="00085F49" w:rsidRPr="00F94703">
        <w:rPr>
          <w:rFonts w:ascii="Times New Roman" w:hAnsi="Times New Roman" w:cs="Times New Roman"/>
        </w:rPr>
        <w:t xml:space="preserve"> </w:t>
      </w:r>
      <w:r w:rsidR="007C4659" w:rsidRPr="00F94703">
        <w:rPr>
          <w:rFonts w:ascii="Times New Roman" w:hAnsi="Times New Roman" w:cs="Times New Roman"/>
        </w:rPr>
        <w:t>indices fall drastically from the age of approximately 3 years till 5 years. All of this inevitably points towards the centrality for the international community to ramp up their developmental spending in Zimbabwe despite an environment of constrained resources.</w:t>
      </w:r>
    </w:p>
    <w:p w:rsidR="00831D06" w:rsidRDefault="00831D06" w:rsidP="003278DF"/>
    <w:p w:rsidR="00085F49" w:rsidRDefault="00085F49" w:rsidP="003278DF">
      <w:r>
        <w:rPr>
          <w:noProof/>
        </w:rPr>
        <w:drawing>
          <wp:inline distT="0" distB="0" distL="0" distR="0" wp14:anchorId="112B76A4" wp14:editId="4B732E7F">
            <wp:extent cx="5486400" cy="3502855"/>
            <wp:effectExtent l="12700" t="12700" r="1270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 cstate="print"/>
                    <a:stretch>
                      <a:fillRect/>
                    </a:stretch>
                  </pic:blipFill>
                  <pic:spPr bwMode="auto">
                    <a:xfrm>
                      <a:off x="0" y="0"/>
                      <a:ext cx="76347" cy="48745"/>
                    </a:xfrm>
                    <a:prstGeom prst="rect">
                      <a:avLst/>
                    </a:prstGeom>
                    <a:noFill/>
                    <a:ln>
                      <a:solidFill>
                        <a:schemeClr val="tx1"/>
                      </a:solidFill>
                    </a:ln>
                  </pic:spPr>
                </pic:pic>
              </a:graphicData>
            </a:graphic>
          </wp:inline>
        </w:drawing>
      </w:r>
    </w:p>
    <w:p w:rsidR="00085F49" w:rsidRPr="00E85A28" w:rsidRDefault="00085F49" w:rsidP="00085F49">
      <w:pPr>
        <w:jc w:val="center"/>
        <w:rPr>
          <w:i/>
          <w:iCs/>
        </w:rPr>
      </w:pPr>
      <w:r w:rsidRPr="00E85A28">
        <w:rPr>
          <w:i/>
          <w:iCs/>
        </w:rPr>
        <w:t>Figure 2</w:t>
      </w:r>
    </w:p>
    <w:p w:rsidR="0008075A" w:rsidRDefault="0008075A" w:rsidP="003278DF"/>
    <w:p w:rsidR="0008075A" w:rsidRDefault="003135CE" w:rsidP="003278DF">
      <w:r>
        <w:rPr>
          <w:noProof/>
        </w:rPr>
        <w:drawing>
          <wp:inline distT="0" distB="0" distL="0" distR="0" wp14:anchorId="133EB838" wp14:editId="682E0792">
            <wp:extent cx="5486400" cy="3743374"/>
            <wp:effectExtent l="12700" t="12700" r="1270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 cstate="print"/>
                    <a:stretch>
                      <a:fillRect/>
                    </a:stretch>
                  </pic:blipFill>
                  <pic:spPr bwMode="auto">
                    <a:xfrm>
                      <a:off x="0" y="0"/>
                      <a:ext cx="5504366" cy="3755632"/>
                    </a:xfrm>
                    <a:prstGeom prst="rect">
                      <a:avLst/>
                    </a:prstGeom>
                    <a:noFill/>
                    <a:ln>
                      <a:solidFill>
                        <a:schemeClr val="tx1"/>
                      </a:solidFill>
                    </a:ln>
                  </pic:spPr>
                </pic:pic>
              </a:graphicData>
            </a:graphic>
          </wp:inline>
        </w:drawing>
      </w:r>
    </w:p>
    <w:p w:rsidR="00E85A28" w:rsidRPr="00E85A28" w:rsidRDefault="00E85A28" w:rsidP="00E85A28">
      <w:pPr>
        <w:jc w:val="center"/>
        <w:rPr>
          <w:i/>
          <w:iCs/>
        </w:rPr>
      </w:pPr>
      <w:r w:rsidRPr="00E85A28">
        <w:rPr>
          <w:i/>
          <w:iCs/>
        </w:rPr>
        <w:t xml:space="preserve">Figure </w:t>
      </w:r>
      <w:r w:rsidR="00085F49">
        <w:rPr>
          <w:i/>
          <w:iCs/>
        </w:rPr>
        <w:t>3</w:t>
      </w:r>
    </w:p>
    <w:p w:rsidR="0008075A" w:rsidRDefault="00085F49" w:rsidP="003278DF">
      <w:r>
        <w:rPr>
          <w:noProof/>
        </w:rPr>
        <w:lastRenderedPageBreak/>
        <w:drawing>
          <wp:inline distT="0" distB="0" distL="0" distR="0" wp14:anchorId="79C5A76D" wp14:editId="2EB4F437">
            <wp:extent cx="5486400" cy="3377614"/>
            <wp:effectExtent l="12700" t="1270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cstate="print"/>
                    <a:stretch>
                      <a:fillRect/>
                    </a:stretch>
                  </pic:blipFill>
                  <pic:spPr bwMode="auto">
                    <a:xfrm>
                      <a:off x="0" y="0"/>
                      <a:ext cx="76431" cy="47054"/>
                    </a:xfrm>
                    <a:prstGeom prst="rect">
                      <a:avLst/>
                    </a:prstGeom>
                    <a:noFill/>
                    <a:ln>
                      <a:solidFill>
                        <a:schemeClr val="tx1"/>
                      </a:solidFill>
                    </a:ln>
                  </pic:spPr>
                </pic:pic>
              </a:graphicData>
            </a:graphic>
          </wp:inline>
        </w:drawing>
      </w:r>
    </w:p>
    <w:p w:rsidR="00085F49" w:rsidRPr="00085F49" w:rsidRDefault="00085F49" w:rsidP="00085F49">
      <w:pPr>
        <w:jc w:val="center"/>
        <w:rPr>
          <w:i/>
          <w:iCs/>
        </w:rPr>
      </w:pPr>
      <w:r w:rsidRPr="00085F49">
        <w:rPr>
          <w:i/>
          <w:iCs/>
        </w:rPr>
        <w:t xml:space="preserve">Figure </w:t>
      </w:r>
      <w:r>
        <w:rPr>
          <w:i/>
          <w:iCs/>
        </w:rPr>
        <w:t>4</w:t>
      </w:r>
    </w:p>
    <w:p w:rsidR="0008075A" w:rsidRDefault="0008075A" w:rsidP="00085F49"/>
    <w:p w:rsidR="00C700DA" w:rsidRPr="00085F49" w:rsidRDefault="00C700DA" w:rsidP="003278DF">
      <w:pPr>
        <w:rPr>
          <w:u w:val="single"/>
        </w:rPr>
      </w:pPr>
    </w:p>
    <w:p w:rsidR="00C700DA" w:rsidRPr="003135CE" w:rsidRDefault="00C700DA" w:rsidP="003278DF">
      <w:pPr>
        <w:rPr>
          <w:sz w:val="28"/>
          <w:szCs w:val="28"/>
        </w:rPr>
      </w:pPr>
      <w:r w:rsidRPr="00085F49">
        <w:rPr>
          <w:sz w:val="28"/>
          <w:szCs w:val="28"/>
          <w:u w:val="single"/>
        </w:rPr>
        <w:t>References:</w:t>
      </w:r>
    </w:p>
    <w:p w:rsidR="001262D8" w:rsidRDefault="001262D8" w:rsidP="003278DF"/>
    <w:p w:rsidR="001262D8" w:rsidRDefault="001262D8" w:rsidP="003135CE">
      <w:pPr>
        <w:jc w:val="both"/>
      </w:pPr>
      <w:r w:rsidRPr="001262D8">
        <w:t xml:space="preserve">Alderman , H ., J. R. Behrman , and C. </w:t>
      </w:r>
      <w:proofErr w:type="spellStart"/>
      <w:r w:rsidRPr="001262D8">
        <w:t>Puett</w:t>
      </w:r>
      <w:proofErr w:type="spellEnd"/>
      <w:r w:rsidRPr="001262D8">
        <w:t xml:space="preserve"> . 2016 . “ Big Numbers about Small Children: Estimating the Economic Benefits of Addressing Undernutrition .” World Bank Research Observer 31 ( 2 ).</w:t>
      </w:r>
    </w:p>
    <w:p w:rsidR="001262D8" w:rsidRDefault="001262D8" w:rsidP="003135CE">
      <w:pPr>
        <w:jc w:val="both"/>
      </w:pPr>
    </w:p>
    <w:p w:rsidR="001262D8" w:rsidRDefault="001262D8" w:rsidP="003135CE">
      <w:pPr>
        <w:jc w:val="both"/>
      </w:pPr>
      <w:r w:rsidRPr="001262D8">
        <w:t>UNICEF, WHO, and World Bank (United Nations Children’s Fund, World Health Organization, and World Bank). 2015. Joint Child Malnutrition Estimates. Global Database on Child Growth and Malnutrition.</w:t>
      </w:r>
    </w:p>
    <w:sectPr w:rsidR="00126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F38AE"/>
    <w:multiLevelType w:val="hybridMultilevel"/>
    <w:tmpl w:val="68920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71566D"/>
    <w:multiLevelType w:val="hybridMultilevel"/>
    <w:tmpl w:val="69AA12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5314301">
    <w:abstractNumId w:val="0"/>
  </w:num>
  <w:num w:numId="2" w16cid:durableId="815226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B0"/>
    <w:rsid w:val="000042A4"/>
    <w:rsid w:val="0008075A"/>
    <w:rsid w:val="00085F49"/>
    <w:rsid w:val="00092285"/>
    <w:rsid w:val="001262D8"/>
    <w:rsid w:val="001352D1"/>
    <w:rsid w:val="003135CE"/>
    <w:rsid w:val="003278DF"/>
    <w:rsid w:val="00760B8D"/>
    <w:rsid w:val="007C4659"/>
    <w:rsid w:val="00817620"/>
    <w:rsid w:val="00831D06"/>
    <w:rsid w:val="008F3B83"/>
    <w:rsid w:val="009B4E83"/>
    <w:rsid w:val="009D78B1"/>
    <w:rsid w:val="00BB66E8"/>
    <w:rsid w:val="00BE7AD6"/>
    <w:rsid w:val="00C664B0"/>
    <w:rsid w:val="00C700DA"/>
    <w:rsid w:val="00E85A28"/>
    <w:rsid w:val="00F94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0181C2"/>
  <w15:chartTrackingRefBased/>
  <w15:docId w15:val="{FBCF7141-AD33-CD42-9621-DB19F152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4B0"/>
    <w:pPr>
      <w:ind w:left="720"/>
      <w:contextualSpacing/>
    </w:pPr>
  </w:style>
  <w:style w:type="character" w:styleId="Hyperlink">
    <w:name w:val="Hyperlink"/>
    <w:basedOn w:val="DefaultParagraphFont"/>
    <w:uiPriority w:val="99"/>
    <w:unhideWhenUsed/>
    <w:rsid w:val="00C664B0"/>
    <w:rPr>
      <w:color w:val="0563C1" w:themeColor="hyperlink"/>
      <w:u w:val="single"/>
    </w:rPr>
  </w:style>
  <w:style w:type="character" w:styleId="UnresolvedMention">
    <w:name w:val="Unresolved Mention"/>
    <w:basedOn w:val="DefaultParagraphFont"/>
    <w:uiPriority w:val="99"/>
    <w:semiHidden/>
    <w:unhideWhenUsed/>
    <w:rsid w:val="00C664B0"/>
    <w:rPr>
      <w:color w:val="605E5C"/>
      <w:shd w:val="clear" w:color="auto" w:fill="E1DFDD"/>
    </w:rPr>
  </w:style>
  <w:style w:type="paragraph" w:styleId="NormalWeb">
    <w:name w:val="Normal (Web)"/>
    <w:basedOn w:val="Normal"/>
    <w:uiPriority w:val="99"/>
    <w:unhideWhenUsed/>
    <w:rsid w:val="00C700DA"/>
    <w:pPr>
      <w:spacing w:before="100" w:beforeAutospacing="1" w:after="100" w:afterAutospacing="1"/>
    </w:pPr>
    <w:rPr>
      <w:rFonts w:ascii="Times New Roman" w:eastAsia="Times New Roman" w:hAnsi="Times New Roman" w:cs="Times New Roman"/>
      <w:lang w:eastAsia="en-GB"/>
    </w:rPr>
  </w:style>
  <w:style w:type="table" w:customStyle="1" w:styleId="tabletemplate">
    <w:name w:val="table_template"/>
    <w:basedOn w:val="TableNormal"/>
    <w:uiPriority w:val="59"/>
    <w:rsid w:val="001262D8"/>
    <w:pPr>
      <w:jc w:val="right"/>
    </w:pPr>
    <w:rPr>
      <w:rFonts w:eastAsiaTheme="minorEastAsia"/>
      <w:lang w:val="en-US"/>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6933">
      <w:bodyDiv w:val="1"/>
      <w:marLeft w:val="0"/>
      <w:marRight w:val="0"/>
      <w:marTop w:val="0"/>
      <w:marBottom w:val="0"/>
      <w:divBdr>
        <w:top w:val="none" w:sz="0" w:space="0" w:color="auto"/>
        <w:left w:val="none" w:sz="0" w:space="0" w:color="auto"/>
        <w:bottom w:val="none" w:sz="0" w:space="0" w:color="auto"/>
        <w:right w:val="none" w:sz="0" w:space="0" w:color="auto"/>
      </w:divBdr>
      <w:divsChild>
        <w:div w:id="2078235996">
          <w:marLeft w:val="0"/>
          <w:marRight w:val="0"/>
          <w:marTop w:val="0"/>
          <w:marBottom w:val="0"/>
          <w:divBdr>
            <w:top w:val="none" w:sz="0" w:space="0" w:color="auto"/>
            <w:left w:val="none" w:sz="0" w:space="0" w:color="auto"/>
            <w:bottom w:val="none" w:sz="0" w:space="0" w:color="auto"/>
            <w:right w:val="none" w:sz="0" w:space="0" w:color="auto"/>
          </w:divBdr>
          <w:divsChild>
            <w:div w:id="1292592949">
              <w:marLeft w:val="0"/>
              <w:marRight w:val="0"/>
              <w:marTop w:val="0"/>
              <w:marBottom w:val="0"/>
              <w:divBdr>
                <w:top w:val="none" w:sz="0" w:space="0" w:color="auto"/>
                <w:left w:val="none" w:sz="0" w:space="0" w:color="auto"/>
                <w:bottom w:val="none" w:sz="0" w:space="0" w:color="auto"/>
                <w:right w:val="none" w:sz="0" w:space="0" w:color="auto"/>
              </w:divBdr>
              <w:divsChild>
                <w:div w:id="533924373">
                  <w:marLeft w:val="0"/>
                  <w:marRight w:val="0"/>
                  <w:marTop w:val="0"/>
                  <w:marBottom w:val="0"/>
                  <w:divBdr>
                    <w:top w:val="none" w:sz="0" w:space="0" w:color="auto"/>
                    <w:left w:val="none" w:sz="0" w:space="0" w:color="auto"/>
                    <w:bottom w:val="none" w:sz="0" w:space="0" w:color="auto"/>
                    <w:right w:val="none" w:sz="0" w:space="0" w:color="auto"/>
                  </w:divBdr>
                  <w:divsChild>
                    <w:div w:id="4680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02054">
      <w:bodyDiv w:val="1"/>
      <w:marLeft w:val="0"/>
      <w:marRight w:val="0"/>
      <w:marTop w:val="0"/>
      <w:marBottom w:val="0"/>
      <w:divBdr>
        <w:top w:val="none" w:sz="0" w:space="0" w:color="auto"/>
        <w:left w:val="none" w:sz="0" w:space="0" w:color="auto"/>
        <w:bottom w:val="none" w:sz="0" w:space="0" w:color="auto"/>
        <w:right w:val="none" w:sz="0" w:space="0" w:color="auto"/>
      </w:divBdr>
      <w:divsChild>
        <w:div w:id="1697347551">
          <w:marLeft w:val="0"/>
          <w:marRight w:val="0"/>
          <w:marTop w:val="0"/>
          <w:marBottom w:val="0"/>
          <w:divBdr>
            <w:top w:val="none" w:sz="0" w:space="0" w:color="auto"/>
            <w:left w:val="none" w:sz="0" w:space="0" w:color="auto"/>
            <w:bottom w:val="none" w:sz="0" w:space="0" w:color="auto"/>
            <w:right w:val="none" w:sz="0" w:space="0" w:color="auto"/>
          </w:divBdr>
          <w:divsChild>
            <w:div w:id="1657372567">
              <w:marLeft w:val="0"/>
              <w:marRight w:val="0"/>
              <w:marTop w:val="0"/>
              <w:marBottom w:val="0"/>
              <w:divBdr>
                <w:top w:val="none" w:sz="0" w:space="0" w:color="auto"/>
                <w:left w:val="none" w:sz="0" w:space="0" w:color="auto"/>
                <w:bottom w:val="none" w:sz="0" w:space="0" w:color="auto"/>
                <w:right w:val="none" w:sz="0" w:space="0" w:color="auto"/>
              </w:divBdr>
              <w:divsChild>
                <w:div w:id="89469301">
                  <w:marLeft w:val="0"/>
                  <w:marRight w:val="0"/>
                  <w:marTop w:val="0"/>
                  <w:marBottom w:val="0"/>
                  <w:divBdr>
                    <w:top w:val="none" w:sz="0" w:space="0" w:color="auto"/>
                    <w:left w:val="none" w:sz="0" w:space="0" w:color="auto"/>
                    <w:bottom w:val="none" w:sz="0" w:space="0" w:color="auto"/>
                    <w:right w:val="none" w:sz="0" w:space="0" w:color="auto"/>
                  </w:divBdr>
                  <w:divsChild>
                    <w:div w:id="1309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801881">
      <w:bodyDiv w:val="1"/>
      <w:marLeft w:val="0"/>
      <w:marRight w:val="0"/>
      <w:marTop w:val="0"/>
      <w:marBottom w:val="0"/>
      <w:divBdr>
        <w:top w:val="none" w:sz="0" w:space="0" w:color="auto"/>
        <w:left w:val="none" w:sz="0" w:space="0" w:color="auto"/>
        <w:bottom w:val="none" w:sz="0" w:space="0" w:color="auto"/>
        <w:right w:val="none" w:sz="0" w:space="0" w:color="auto"/>
      </w:divBdr>
      <w:divsChild>
        <w:div w:id="1877501926">
          <w:marLeft w:val="0"/>
          <w:marRight w:val="0"/>
          <w:marTop w:val="0"/>
          <w:marBottom w:val="0"/>
          <w:divBdr>
            <w:top w:val="none" w:sz="0" w:space="0" w:color="auto"/>
            <w:left w:val="none" w:sz="0" w:space="0" w:color="auto"/>
            <w:bottom w:val="none" w:sz="0" w:space="0" w:color="auto"/>
            <w:right w:val="none" w:sz="0" w:space="0" w:color="auto"/>
          </w:divBdr>
          <w:divsChild>
            <w:div w:id="98528120">
              <w:marLeft w:val="0"/>
              <w:marRight w:val="0"/>
              <w:marTop w:val="0"/>
              <w:marBottom w:val="0"/>
              <w:divBdr>
                <w:top w:val="none" w:sz="0" w:space="0" w:color="auto"/>
                <w:left w:val="none" w:sz="0" w:space="0" w:color="auto"/>
                <w:bottom w:val="none" w:sz="0" w:space="0" w:color="auto"/>
                <w:right w:val="none" w:sz="0" w:space="0" w:color="auto"/>
              </w:divBdr>
              <w:divsChild>
                <w:div w:id="443890055">
                  <w:marLeft w:val="0"/>
                  <w:marRight w:val="0"/>
                  <w:marTop w:val="0"/>
                  <w:marBottom w:val="0"/>
                  <w:divBdr>
                    <w:top w:val="none" w:sz="0" w:space="0" w:color="auto"/>
                    <w:left w:val="none" w:sz="0" w:space="0" w:color="auto"/>
                    <w:bottom w:val="none" w:sz="0" w:space="0" w:color="auto"/>
                    <w:right w:val="none" w:sz="0" w:space="0" w:color="auto"/>
                  </w:divBdr>
                  <w:divsChild>
                    <w:div w:id="5136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BHARADWAJ</dc:creator>
  <cp:keywords/>
  <dc:description/>
  <cp:lastModifiedBy>Anirudh BHARADWAJ</cp:lastModifiedBy>
  <cp:revision>6</cp:revision>
  <dcterms:created xsi:type="dcterms:W3CDTF">2024-07-13T09:15:00Z</dcterms:created>
  <dcterms:modified xsi:type="dcterms:W3CDTF">2024-07-14T00:01:00Z</dcterms:modified>
</cp:coreProperties>
</file>