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73025</wp:posOffset>
            </wp:positionV>
            <wp:extent cx="5731510" cy="4424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 Case 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Start Game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Version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1.0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Open up the game and running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Summary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The player can open the game and start it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Actors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player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Player are able to open the game frame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Triggers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Player press the start button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Basic Course of Events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/>
            </w:pPr>
            <w:r>
              <w:rPr/>
              <w:t>When the game is opened, the programe draw the initial grid on the board</w:t>
            </w:r>
          </w:p>
          <w:p>
            <w:pPr>
              <w:pStyle w:val="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Alternative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rPr/>
            </w:pPr>
            <w:r>
              <w:rPr/>
              <w:t>None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Post-conditions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None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Business Rules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None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Notes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None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Author and Date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Bowen Zhang  31/05/2019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Activity Diagram: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22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76</Words>
  <Characters>373</Characters>
  <CharactersWithSpaces>429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2019-05-31T09:57:58Z</dcterms:modified>
  <cp:revision>2</cp:revision>
  <dc:subject/>
  <dc:title/>
</cp:coreProperties>
</file>