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73155" w14:textId="2873C5C8" w:rsidR="004F7A7F" w:rsidRDefault="00A26101">
      <w:hyperlink r:id="rId4" w:history="1">
        <w:r w:rsidRPr="00DD7F40">
          <w:rPr>
            <w:rStyle w:val="Hyperlink"/>
          </w:rPr>
          <w:t>https://blog.sqreen.com/authentication-best-practices-vue/</w:t>
        </w:r>
      </w:hyperlink>
    </w:p>
    <w:p w14:paraId="5D0F668B" w14:textId="77777777" w:rsidR="00A26101" w:rsidRDefault="00A26101">
      <w:bookmarkStart w:id="0" w:name="_GoBack"/>
      <w:bookmarkEnd w:id="0"/>
    </w:p>
    <w:sectPr w:rsidR="00A261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C3"/>
    <w:rsid w:val="000872BE"/>
    <w:rsid w:val="000B78C3"/>
    <w:rsid w:val="00635EB4"/>
    <w:rsid w:val="00A2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1062"/>
  <w15:chartTrackingRefBased/>
  <w15:docId w15:val="{AD874810-DC55-4D6C-90CF-AAC5D2D4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2610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6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sqreen.com/authentication-best-practices-vu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117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2020-09-09T15:27:00Z</dcterms:created>
  <dcterms:modified xsi:type="dcterms:W3CDTF">2020-09-09T15:28:00Z</dcterms:modified>
</cp:coreProperties>
</file>