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F1EC" w14:textId="77777777" w:rsidR="00CF5563" w:rsidRPr="00E86C7D" w:rsidRDefault="00CF5563" w:rsidP="00CF5563">
      <w:pPr>
        <w:spacing w:after="0"/>
        <w:jc w:val="center"/>
        <w:rPr>
          <w:rFonts w:ascii="Garamond" w:hAnsi="Garamond"/>
          <w:sz w:val="20"/>
        </w:rPr>
      </w:pPr>
      <w:r w:rsidRPr="00E86C7D">
        <w:rPr>
          <w:rFonts w:ascii="Garamond" w:hAnsi="Garamond"/>
          <w:sz w:val="20"/>
        </w:rPr>
        <w:t>Einführungsphase BRC – 11. Jahrgang</w:t>
      </w:r>
    </w:p>
    <w:p w14:paraId="6D6DB56F" w14:textId="2408E652" w:rsidR="00CF5563" w:rsidRPr="00E86C7D" w:rsidRDefault="00B356BC" w:rsidP="00CF5563">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sidR="00CF5563">
        <w:rPr>
          <w:rFonts w:ascii="Garamond" w:hAnsi="Garamond"/>
          <w:b/>
          <w:sz w:val="28"/>
        </w:rPr>
        <w:t xml:space="preserve"> – Einführung und Anleitung</w:t>
      </w:r>
    </w:p>
    <w:p w14:paraId="24D66733" w14:textId="77777777" w:rsidR="00F73899" w:rsidRDefault="00F73899" w:rsidP="00CF5563"/>
    <w:p w14:paraId="5041DD61" w14:textId="77777777" w:rsidR="00CF5563" w:rsidRDefault="00CF5563" w:rsidP="00CF5563">
      <w:pPr>
        <w:rPr>
          <w:rFonts w:ascii="Garamond" w:hAnsi="Garamond"/>
          <w:b/>
          <w:sz w:val="24"/>
          <w:u w:val="single"/>
        </w:rPr>
      </w:pPr>
      <w:r w:rsidRPr="00CF5563">
        <w:rPr>
          <w:rFonts w:ascii="Garamond" w:hAnsi="Garamond"/>
          <w:b/>
          <w:sz w:val="24"/>
          <w:u w:val="single"/>
        </w:rPr>
        <w:t>Ausgangslage</w:t>
      </w:r>
      <w:r>
        <w:rPr>
          <w:rFonts w:ascii="Garamond" w:hAnsi="Garamond"/>
          <w:b/>
          <w:sz w:val="24"/>
          <w:u w:val="single"/>
        </w:rPr>
        <w:t xml:space="preserve"> und Ziel</w:t>
      </w:r>
    </w:p>
    <w:p w14:paraId="09D6A184" w14:textId="77777777" w:rsidR="00CF5563" w:rsidRDefault="00CF5563" w:rsidP="00CF5563">
      <w:pPr>
        <w:jc w:val="both"/>
        <w:rPr>
          <w:rFonts w:ascii="Garamond" w:hAnsi="Garamond"/>
          <w:sz w:val="24"/>
        </w:rPr>
      </w:pPr>
      <w:r>
        <w:rPr>
          <w:rFonts w:ascii="Garamond" w:hAnsi="Garamond"/>
          <w:sz w:val="24"/>
        </w:rPr>
        <w:t xml:space="preserve">Auf dem Markt für </w:t>
      </w:r>
      <w:r w:rsidR="000F0467">
        <w:rPr>
          <w:rFonts w:ascii="Garamond" w:hAnsi="Garamond"/>
          <w:sz w:val="24"/>
        </w:rPr>
        <w:t>Sneaker</w:t>
      </w:r>
      <w:r w:rsidRPr="00CF5563">
        <w:rPr>
          <w:rFonts w:ascii="Garamond" w:hAnsi="Garamond"/>
          <w:sz w:val="24"/>
        </w:rPr>
        <w:t xml:space="preserve"> konkurrieren mehrere </w:t>
      </w:r>
      <w:r>
        <w:rPr>
          <w:rFonts w:ascii="Garamond" w:hAnsi="Garamond"/>
          <w:sz w:val="24"/>
        </w:rPr>
        <w:t>Unternehmen</w:t>
      </w:r>
      <w:r w:rsidRPr="00CF5563">
        <w:rPr>
          <w:rFonts w:ascii="Garamond" w:hAnsi="Garamond"/>
          <w:sz w:val="24"/>
        </w:rPr>
        <w:t>,</w:t>
      </w:r>
      <w:r>
        <w:rPr>
          <w:rFonts w:ascii="Garamond" w:hAnsi="Garamond"/>
          <w:sz w:val="24"/>
        </w:rPr>
        <w:t xml:space="preserve"> die sich einen intensiven Verdrängun</w:t>
      </w:r>
      <w:r w:rsidR="000F0467">
        <w:rPr>
          <w:rFonts w:ascii="Garamond" w:hAnsi="Garamond"/>
          <w:sz w:val="24"/>
        </w:rPr>
        <w:t xml:space="preserve">gswettbewerb liefern. Als neue Geschäftsführung </w:t>
      </w:r>
      <w:r>
        <w:rPr>
          <w:rFonts w:ascii="Garamond" w:hAnsi="Garamond"/>
          <w:sz w:val="24"/>
        </w:rPr>
        <w:t>stehen Sie vor der Hera</w:t>
      </w:r>
      <w:r w:rsidR="00501D98">
        <w:rPr>
          <w:rFonts w:ascii="Garamond" w:hAnsi="Garamond"/>
          <w:sz w:val="24"/>
        </w:rPr>
        <w:t>usforderung, über die nächsten 10</w:t>
      </w:r>
      <w:r>
        <w:rPr>
          <w:rFonts w:ascii="Garamond" w:hAnsi="Garamond"/>
          <w:sz w:val="24"/>
        </w:rPr>
        <w:t xml:space="preserve"> </w:t>
      </w:r>
      <w:r w:rsidR="007F6AFF">
        <w:rPr>
          <w:rFonts w:ascii="Garamond" w:hAnsi="Garamond"/>
          <w:sz w:val="24"/>
        </w:rPr>
        <w:t>Perioden</w:t>
      </w:r>
      <w:r>
        <w:rPr>
          <w:rFonts w:ascii="Garamond" w:hAnsi="Garamond"/>
          <w:sz w:val="24"/>
        </w:rPr>
        <w:t xml:space="preserve"> Ihr Unternehmen erfolgreich am Markt zu behaupten.</w:t>
      </w:r>
    </w:p>
    <w:p w14:paraId="09FEFF2D" w14:textId="77777777" w:rsidR="00CF5563" w:rsidRDefault="00CF5563" w:rsidP="00CF5563">
      <w:pPr>
        <w:jc w:val="both"/>
        <w:rPr>
          <w:rFonts w:ascii="Garamond" w:hAnsi="Garamond"/>
          <w:sz w:val="24"/>
        </w:rPr>
      </w:pPr>
      <w:r>
        <w:rPr>
          <w:rFonts w:ascii="Garamond" w:hAnsi="Garamond"/>
          <w:sz w:val="24"/>
        </w:rPr>
        <w:t xml:space="preserve">Dabei müssen Sie eine Vielzahl unternehmerischer Entscheidungen treffen, die über den Erfolg Ihrer Tätigkeit entscheiden. </w:t>
      </w:r>
    </w:p>
    <w:p w14:paraId="169019FF" w14:textId="77777777" w:rsidR="00CF5563" w:rsidRDefault="00CF5563" w:rsidP="00CF5563">
      <w:pPr>
        <w:jc w:val="both"/>
        <w:rPr>
          <w:rFonts w:ascii="Garamond" w:hAnsi="Garamond"/>
          <w:sz w:val="24"/>
        </w:rPr>
      </w:pPr>
      <w:r>
        <w:rPr>
          <w:rFonts w:ascii="Garamond" w:hAnsi="Garamond"/>
          <w:sz w:val="24"/>
        </w:rPr>
        <w:t>Seien Sie jedoch gewarnt - Ihre</w:t>
      </w:r>
      <w:r w:rsidRPr="00CF5563">
        <w:rPr>
          <w:rFonts w:ascii="Garamond" w:hAnsi="Garamond"/>
          <w:sz w:val="24"/>
        </w:rPr>
        <w:t xml:space="preserve"> direkten Konkurrenten </w:t>
      </w:r>
      <w:r>
        <w:rPr>
          <w:rFonts w:ascii="Garamond" w:hAnsi="Garamond"/>
          <w:sz w:val="24"/>
        </w:rPr>
        <w:t>haben ebenfalls ehrgeizige Ziele, deren Entscheidungen wiederum den Gesamtmarkt und damit auch Ihr Unternehmen beeinflusst. Alle Entscheidungen werden am Ende des Jahres ausgewertet und bilden die Ausgangslage für das folgende Geschäftsjahr.</w:t>
      </w:r>
    </w:p>
    <w:p w14:paraId="31420B67" w14:textId="4ED47C49" w:rsidR="00CF5563" w:rsidRDefault="00673DB0" w:rsidP="00CF5563">
      <w:pPr>
        <w:jc w:val="both"/>
        <w:rPr>
          <w:rFonts w:ascii="Garamond" w:hAnsi="Garamond"/>
          <w:sz w:val="24"/>
        </w:rPr>
      </w:pPr>
      <w:r w:rsidRPr="00673DB0">
        <w:drawing>
          <wp:anchor distT="0" distB="0" distL="114300" distR="114300" simplePos="0" relativeHeight="251661312" behindDoc="0" locked="0" layoutInCell="1" allowOverlap="1" wp14:anchorId="39ECFD50" wp14:editId="41676CC0">
            <wp:simplePos x="0" y="0"/>
            <wp:positionH relativeFrom="column">
              <wp:posOffset>81280</wp:posOffset>
            </wp:positionH>
            <wp:positionV relativeFrom="paragraph">
              <wp:posOffset>692785</wp:posOffset>
            </wp:positionV>
            <wp:extent cx="5760720" cy="2907665"/>
            <wp:effectExtent l="19050" t="19050" r="11430" b="260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907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F5563" w:rsidRPr="00CF5563">
        <w:rPr>
          <w:rFonts w:ascii="Garamond" w:hAnsi="Garamond"/>
          <w:sz w:val="24"/>
        </w:rPr>
        <w:t>Es gilt, das eigene</w:t>
      </w:r>
      <w:r w:rsidR="00CF5563">
        <w:rPr>
          <w:rFonts w:ascii="Garamond" w:hAnsi="Garamond"/>
          <w:sz w:val="24"/>
        </w:rPr>
        <w:t xml:space="preserve"> </w:t>
      </w:r>
      <w:r w:rsidR="00CF5563" w:rsidRPr="00CF5563">
        <w:rPr>
          <w:rFonts w:ascii="Garamond" w:hAnsi="Garamond"/>
          <w:sz w:val="24"/>
        </w:rPr>
        <w:t xml:space="preserve">Unternehmen entsprechend </w:t>
      </w:r>
      <w:r w:rsidR="00CF5563">
        <w:rPr>
          <w:rFonts w:ascii="Garamond" w:hAnsi="Garamond"/>
          <w:sz w:val="24"/>
        </w:rPr>
        <w:t>einer</w:t>
      </w:r>
      <w:r w:rsidR="00CF5563" w:rsidRPr="00CF5563">
        <w:rPr>
          <w:rFonts w:ascii="Garamond" w:hAnsi="Garamond"/>
          <w:sz w:val="24"/>
        </w:rPr>
        <w:t xml:space="preserve"> </w:t>
      </w:r>
      <w:r w:rsidR="00CF5563">
        <w:rPr>
          <w:rFonts w:ascii="Garamond" w:hAnsi="Garamond"/>
          <w:sz w:val="24"/>
        </w:rPr>
        <w:t xml:space="preserve">zielgerichteten </w:t>
      </w:r>
      <w:r w:rsidR="00CF5563" w:rsidRPr="00CF5563">
        <w:rPr>
          <w:rFonts w:ascii="Garamond" w:hAnsi="Garamond"/>
          <w:sz w:val="24"/>
        </w:rPr>
        <w:t xml:space="preserve">Strategie </w:t>
      </w:r>
      <w:r w:rsidR="000F0467" w:rsidRPr="00CF5563">
        <w:rPr>
          <w:rFonts w:ascii="Garamond" w:hAnsi="Garamond"/>
          <w:sz w:val="24"/>
        </w:rPr>
        <w:t xml:space="preserve">kontinuierlich </w:t>
      </w:r>
      <w:r w:rsidR="000F0467">
        <w:rPr>
          <w:rFonts w:ascii="Garamond" w:hAnsi="Garamond"/>
          <w:sz w:val="24"/>
        </w:rPr>
        <w:t>weiterzuentwickeln</w:t>
      </w:r>
      <w:r w:rsidR="00CF5563" w:rsidRPr="00CF5563">
        <w:rPr>
          <w:rFonts w:ascii="Garamond" w:hAnsi="Garamond"/>
          <w:sz w:val="24"/>
        </w:rPr>
        <w:t xml:space="preserve"> und sich am</w:t>
      </w:r>
      <w:r w:rsidR="00CF5563">
        <w:rPr>
          <w:rFonts w:ascii="Garamond" w:hAnsi="Garamond"/>
          <w:sz w:val="24"/>
        </w:rPr>
        <w:t xml:space="preserve"> </w:t>
      </w:r>
      <w:r w:rsidR="00CF5563" w:rsidRPr="00CF5563">
        <w:rPr>
          <w:rFonts w:ascii="Garamond" w:hAnsi="Garamond"/>
          <w:sz w:val="24"/>
        </w:rPr>
        <w:t xml:space="preserve">Markt </w:t>
      </w:r>
      <w:r w:rsidR="00CF5563">
        <w:rPr>
          <w:rFonts w:ascii="Garamond" w:hAnsi="Garamond"/>
          <w:sz w:val="24"/>
        </w:rPr>
        <w:t xml:space="preserve">erfolgreich </w:t>
      </w:r>
      <w:r w:rsidR="00CF5563" w:rsidRPr="00CF5563">
        <w:rPr>
          <w:rFonts w:ascii="Garamond" w:hAnsi="Garamond"/>
          <w:sz w:val="24"/>
        </w:rPr>
        <w:t>gegen die Wettbewerber zu behaupten.</w:t>
      </w:r>
    </w:p>
    <w:p w14:paraId="227CA99C" w14:textId="3E2DE1A0" w:rsidR="00673DB0" w:rsidRDefault="00673DB0" w:rsidP="00CF5563">
      <w:pPr>
        <w:jc w:val="both"/>
        <w:rPr>
          <w:rFonts w:ascii="Garamond" w:hAnsi="Garamond"/>
          <w:sz w:val="24"/>
        </w:rPr>
      </w:pPr>
      <w:r>
        <w:rPr>
          <w:noProof/>
          <w:lang w:eastAsia="de-DE"/>
        </w:rPr>
        <mc:AlternateContent>
          <mc:Choice Requires="wps">
            <w:drawing>
              <wp:anchor distT="0" distB="0" distL="114300" distR="114300" simplePos="0" relativeHeight="251656192" behindDoc="0" locked="0" layoutInCell="1" allowOverlap="1" wp14:anchorId="737E9DCC" wp14:editId="4F3C4947">
                <wp:simplePos x="0" y="0"/>
                <wp:positionH relativeFrom="column">
                  <wp:posOffset>16510</wp:posOffset>
                </wp:positionH>
                <wp:positionV relativeFrom="paragraph">
                  <wp:posOffset>3123565</wp:posOffset>
                </wp:positionV>
                <wp:extent cx="520954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209540" cy="635"/>
                        </a:xfrm>
                        <a:prstGeom prst="rect">
                          <a:avLst/>
                        </a:prstGeom>
                        <a:solidFill>
                          <a:prstClr val="white"/>
                        </a:solidFill>
                        <a:ln>
                          <a:noFill/>
                        </a:ln>
                        <a:effectLst/>
                      </wps:spPr>
                      <wps:txbx>
                        <w:txbxContent>
                          <w:p w14:paraId="7CC01334" w14:textId="77777777" w:rsidR="004C750D" w:rsidRPr="004C750D" w:rsidRDefault="004C750D" w:rsidP="004C750D">
                            <w:pPr>
                              <w:pStyle w:val="Beschriftung"/>
                              <w:rPr>
                                <w:rFonts w:ascii="Garamond" w:hAnsi="Garamond"/>
                                <w:noProof/>
                                <w:color w:val="auto"/>
                                <w:sz w:val="24"/>
                                <w:u w:val="single"/>
                              </w:rPr>
                            </w:pPr>
                            <w:r w:rsidRPr="004C750D">
                              <w:rPr>
                                <w:color w:val="auto"/>
                              </w:rPr>
                              <w:t xml:space="preserve">Abbildung </w:t>
                            </w:r>
                            <w:r w:rsidRPr="004C750D">
                              <w:rPr>
                                <w:color w:val="auto"/>
                              </w:rPr>
                              <w:fldChar w:fldCharType="begin"/>
                            </w:r>
                            <w:r w:rsidRPr="004C750D">
                              <w:rPr>
                                <w:color w:val="auto"/>
                              </w:rPr>
                              <w:instrText xml:space="preserve"> SEQ Abbildung \* ARABIC </w:instrText>
                            </w:r>
                            <w:r w:rsidRPr="004C750D">
                              <w:rPr>
                                <w:color w:val="auto"/>
                              </w:rPr>
                              <w:fldChar w:fldCharType="separate"/>
                            </w:r>
                            <w:r w:rsidRPr="004C750D">
                              <w:rPr>
                                <w:noProof/>
                                <w:color w:val="auto"/>
                              </w:rPr>
                              <w:t>1</w:t>
                            </w:r>
                            <w:r w:rsidRPr="004C750D">
                              <w:rPr>
                                <w:color w:val="auto"/>
                              </w:rPr>
                              <w:fldChar w:fldCharType="end"/>
                            </w:r>
                            <w:r w:rsidRPr="004C750D">
                              <w:rPr>
                                <w:color w:val="auto"/>
                              </w:rPr>
                              <w:t xml:space="preserve"> - Marktüberblickt mit Teilmärkten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7E9DCC" id="_x0000_t202" coordsize="21600,21600" o:spt="202" path="m,l,21600r21600,l21600,xe">
                <v:stroke joinstyle="miter"/>
                <v:path gradientshapeok="t" o:connecttype="rect"/>
              </v:shapetype>
              <v:shape id="Textfeld 6" o:spid="_x0000_s1026" type="#_x0000_t202" style="position:absolute;left:0;text-align:left;margin-left:1.3pt;margin-top:245.95pt;width:410.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" stroked="f">
                <v:textbox style="mso-fit-shape-to-text:t" inset="0,0,0,0">
                  <w:txbxContent>
                    <w:p w14:paraId="7CC01334" w14:textId="77777777" w:rsidR="004C750D" w:rsidRPr="004C750D" w:rsidRDefault="004C750D" w:rsidP="004C750D">
                      <w:pPr>
                        <w:pStyle w:val="Beschriftung"/>
                        <w:rPr>
                          <w:rFonts w:ascii="Garamond" w:hAnsi="Garamond"/>
                          <w:noProof/>
                          <w:color w:val="auto"/>
                          <w:sz w:val="24"/>
                          <w:u w:val="single"/>
                        </w:rPr>
                      </w:pPr>
                      <w:r w:rsidRPr="004C750D">
                        <w:rPr>
                          <w:color w:val="auto"/>
                        </w:rPr>
                        <w:t xml:space="preserve">Abbildung </w:t>
                      </w:r>
                      <w:r w:rsidRPr="004C750D">
                        <w:rPr>
                          <w:color w:val="auto"/>
                        </w:rPr>
                        <w:fldChar w:fldCharType="begin"/>
                      </w:r>
                      <w:r w:rsidRPr="004C750D">
                        <w:rPr>
                          <w:color w:val="auto"/>
                        </w:rPr>
                        <w:instrText xml:space="preserve"> SEQ Abbildung \* ARABIC </w:instrText>
                      </w:r>
                      <w:r w:rsidRPr="004C750D">
                        <w:rPr>
                          <w:color w:val="auto"/>
                        </w:rPr>
                        <w:fldChar w:fldCharType="separate"/>
                      </w:r>
                      <w:r w:rsidRPr="004C750D">
                        <w:rPr>
                          <w:noProof/>
                          <w:color w:val="auto"/>
                        </w:rPr>
                        <w:t>1</w:t>
                      </w:r>
                      <w:r w:rsidRPr="004C750D">
                        <w:rPr>
                          <w:color w:val="auto"/>
                        </w:rPr>
                        <w:fldChar w:fldCharType="end"/>
                      </w:r>
                      <w:r w:rsidRPr="004C750D">
                        <w:rPr>
                          <w:color w:val="auto"/>
                        </w:rPr>
                        <w:t xml:space="preserve"> - Marktüberblickt mit Teilmärkten</w:t>
                      </w:r>
                    </w:p>
                  </w:txbxContent>
                </v:textbox>
                <w10:wrap type="square"/>
              </v:shape>
            </w:pict>
          </mc:Fallback>
        </mc:AlternateContent>
      </w:r>
    </w:p>
    <w:p w14:paraId="22F319CE" w14:textId="725EE96D" w:rsidR="00B356BC" w:rsidRDefault="00B356BC" w:rsidP="00F61A4B">
      <w:pPr>
        <w:rPr>
          <w:rFonts w:ascii="Garamond" w:hAnsi="Garamond"/>
          <w:b/>
          <w:sz w:val="24"/>
          <w:u w:val="single"/>
        </w:rPr>
      </w:pPr>
    </w:p>
    <w:p w14:paraId="0398F1FB" w14:textId="31D0DE79" w:rsidR="00B356BC" w:rsidRDefault="00B356BC" w:rsidP="00F61A4B">
      <w:pPr>
        <w:rPr>
          <w:rFonts w:ascii="Garamond" w:hAnsi="Garamond"/>
          <w:b/>
          <w:sz w:val="24"/>
          <w:u w:val="single"/>
        </w:rPr>
      </w:pPr>
    </w:p>
    <w:p w14:paraId="298A4888" w14:textId="5C7F26D6" w:rsidR="00B356BC" w:rsidRDefault="00B356BC" w:rsidP="00F61A4B">
      <w:pPr>
        <w:rPr>
          <w:rFonts w:ascii="Garamond" w:hAnsi="Garamond"/>
          <w:b/>
          <w:sz w:val="24"/>
          <w:u w:val="single"/>
        </w:rPr>
      </w:pPr>
    </w:p>
    <w:p w14:paraId="4D97883F" w14:textId="368CD0C7" w:rsidR="00B356BC" w:rsidRDefault="00B356BC" w:rsidP="00F61A4B">
      <w:pPr>
        <w:rPr>
          <w:rFonts w:ascii="Garamond" w:hAnsi="Garamond"/>
          <w:b/>
          <w:sz w:val="24"/>
          <w:u w:val="single"/>
        </w:rPr>
      </w:pPr>
    </w:p>
    <w:p w14:paraId="03494AA3" w14:textId="6E566FB8" w:rsidR="00B356BC" w:rsidRDefault="00B356BC" w:rsidP="00F61A4B">
      <w:pPr>
        <w:rPr>
          <w:rFonts w:ascii="Garamond" w:hAnsi="Garamond"/>
          <w:b/>
          <w:sz w:val="24"/>
          <w:u w:val="single"/>
        </w:rPr>
      </w:pPr>
    </w:p>
    <w:p w14:paraId="0B9ED52D" w14:textId="77777777" w:rsidR="004C750D" w:rsidRPr="00E86C7D" w:rsidRDefault="004C750D" w:rsidP="004C750D">
      <w:pPr>
        <w:spacing w:after="0"/>
        <w:jc w:val="center"/>
        <w:rPr>
          <w:rFonts w:ascii="Garamond" w:hAnsi="Garamond"/>
          <w:sz w:val="20"/>
        </w:rPr>
      </w:pPr>
      <w:r w:rsidRPr="00E86C7D">
        <w:rPr>
          <w:rFonts w:ascii="Garamond" w:hAnsi="Garamond"/>
          <w:sz w:val="20"/>
        </w:rPr>
        <w:lastRenderedPageBreak/>
        <w:t>Einführungsphase BRC – 11. Jahrgang</w:t>
      </w:r>
    </w:p>
    <w:p w14:paraId="6764E481" w14:textId="08903573" w:rsidR="004C750D" w:rsidRPr="00E86C7D" w:rsidRDefault="00B356BC" w:rsidP="004C750D">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sidR="004C750D">
        <w:rPr>
          <w:rFonts w:ascii="Garamond" w:hAnsi="Garamond"/>
          <w:b/>
          <w:sz w:val="28"/>
        </w:rPr>
        <w:t xml:space="preserve"> – Einführung und Anleitung</w:t>
      </w:r>
    </w:p>
    <w:p w14:paraId="249F1BCE" w14:textId="77777777" w:rsidR="00F61A4B" w:rsidRDefault="00F61A4B" w:rsidP="00F61A4B">
      <w:pPr>
        <w:rPr>
          <w:rFonts w:ascii="Garamond" w:hAnsi="Garamond"/>
          <w:b/>
          <w:sz w:val="24"/>
          <w:u w:val="single"/>
        </w:rPr>
      </w:pPr>
      <w:r>
        <w:rPr>
          <w:rFonts w:ascii="Garamond" w:hAnsi="Garamond"/>
          <w:b/>
          <w:sz w:val="24"/>
          <w:u w:val="single"/>
        </w:rPr>
        <w:t>Simulationsablauf</w:t>
      </w:r>
    </w:p>
    <w:p w14:paraId="06FA79BE" w14:textId="43C1A56D" w:rsidR="00020E41" w:rsidRDefault="00020E41" w:rsidP="00CF5563">
      <w:pPr>
        <w:jc w:val="both"/>
        <w:rPr>
          <w:rFonts w:ascii="Garamond" w:hAnsi="Garamond"/>
          <w:sz w:val="24"/>
        </w:rPr>
      </w:pPr>
      <w:r>
        <w:rPr>
          <w:rFonts w:ascii="Garamond" w:hAnsi="Garamond"/>
          <w:noProof/>
          <w:sz w:val="24"/>
          <w:lang w:eastAsia="de-DE"/>
        </w:rPr>
        <w:drawing>
          <wp:anchor distT="0" distB="0" distL="114300" distR="114300" simplePos="0" relativeHeight="251659776" behindDoc="0" locked="0" layoutInCell="1" allowOverlap="1" wp14:anchorId="3928290F" wp14:editId="54BBFD50">
            <wp:simplePos x="0" y="0"/>
            <wp:positionH relativeFrom="column">
              <wp:posOffset>32385</wp:posOffset>
            </wp:positionH>
            <wp:positionV relativeFrom="paragraph">
              <wp:posOffset>1184275</wp:posOffset>
            </wp:positionV>
            <wp:extent cx="5677535" cy="3066415"/>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7535" cy="306641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hAnsi="Garamond"/>
          <w:sz w:val="24"/>
        </w:rPr>
        <w:t>Sie starten mit Ihrem Unternehmen im Startjahr mit einer grundlegenden Produktion und einer finanziellen Reserve. In jeder Spielrunde erhalten Sie, nach Freischaltung durch die Spielleitung, einen Geschäftsbericht, dem Sie wichtige Informationen entnehmen können (</w:t>
      </w:r>
      <w:r w:rsidR="00B356BC">
        <w:rPr>
          <w:rFonts w:ascii="Garamond" w:hAnsi="Garamond"/>
          <w:sz w:val="24"/>
        </w:rPr>
        <w:t>z. B. Beschaffungspreise</w:t>
      </w:r>
      <w:r>
        <w:rPr>
          <w:rFonts w:ascii="Garamond" w:hAnsi="Garamond"/>
          <w:sz w:val="24"/>
        </w:rPr>
        <w:t xml:space="preserve">, Maschinenpreise, Geschäftsklima etc.) sowie die aktuellen Umsatzzahlen, die Ihr Unternehmen erzielen konnte. </w:t>
      </w:r>
    </w:p>
    <w:p w14:paraId="521D2193" w14:textId="77777777" w:rsidR="00020E41" w:rsidRDefault="00020E41" w:rsidP="00CF5563">
      <w:pPr>
        <w:jc w:val="both"/>
        <w:rPr>
          <w:rFonts w:ascii="Garamond" w:hAnsi="Garamond"/>
          <w:sz w:val="24"/>
        </w:rPr>
      </w:pPr>
    </w:p>
    <w:p w14:paraId="429DDD0B" w14:textId="77777777" w:rsidR="00B77BC1" w:rsidRDefault="00020E41" w:rsidP="00CF5563">
      <w:pPr>
        <w:jc w:val="both"/>
        <w:rPr>
          <w:rFonts w:ascii="Garamond" w:hAnsi="Garamond"/>
          <w:sz w:val="24"/>
        </w:rPr>
      </w:pPr>
      <w:r>
        <w:rPr>
          <w:rFonts w:ascii="Garamond" w:hAnsi="Garamond"/>
          <w:sz w:val="24"/>
        </w:rPr>
        <w:t>Nach Integration der Daten müssen Sie jeweils Ihre aktuelle Lage analysieren, Entscheidungen diskutieren und final Ihre Planung an die Spielleitung senden.</w:t>
      </w:r>
    </w:p>
    <w:p w14:paraId="3D35C444" w14:textId="77777777" w:rsidR="00F61A4B" w:rsidRDefault="00B77BC1" w:rsidP="00CF5563">
      <w:pPr>
        <w:jc w:val="both"/>
        <w:rPr>
          <w:rFonts w:ascii="Garamond" w:hAnsi="Garamond"/>
          <w:sz w:val="24"/>
        </w:rPr>
      </w:pPr>
      <w:r>
        <w:rPr>
          <w:rFonts w:ascii="Garamond" w:hAnsi="Garamond"/>
          <w:sz w:val="24"/>
        </w:rPr>
        <w:t xml:space="preserve">Die wichtigsten Zahlen </w:t>
      </w:r>
      <w:r w:rsidR="00020E41">
        <w:rPr>
          <w:rFonts w:ascii="Garamond" w:hAnsi="Garamond"/>
          <w:sz w:val="24"/>
        </w:rPr>
        <w:t xml:space="preserve">Ihres Unternehmens </w:t>
      </w:r>
      <w:r>
        <w:rPr>
          <w:rFonts w:ascii="Garamond" w:hAnsi="Garamond"/>
          <w:sz w:val="24"/>
        </w:rPr>
        <w:t>im Überblick</w:t>
      </w:r>
      <w:r w:rsidR="00020E41">
        <w:rPr>
          <w:rFonts w:ascii="Garamond" w:hAnsi="Garamond"/>
          <w:sz w:val="24"/>
        </w:rPr>
        <w:t>:</w:t>
      </w:r>
    </w:p>
    <w:tbl>
      <w:tblPr>
        <w:tblStyle w:val="HelleSchattierung-Akzent1"/>
        <w:tblW w:w="9322" w:type="dxa"/>
        <w:tblLook w:val="04A0" w:firstRow="1" w:lastRow="0" w:firstColumn="1" w:lastColumn="0" w:noHBand="0" w:noVBand="1"/>
      </w:tblPr>
      <w:tblGrid>
        <w:gridCol w:w="3369"/>
        <w:gridCol w:w="5953"/>
      </w:tblGrid>
      <w:tr w:rsidR="00020E41" w14:paraId="54543B69" w14:textId="77777777" w:rsidTr="00BF11B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Borders>
              <w:top w:val="single" w:sz="4" w:space="0" w:color="auto"/>
              <w:bottom w:val="nil"/>
            </w:tcBorders>
          </w:tcPr>
          <w:p w14:paraId="52B7334D" w14:textId="77777777" w:rsidR="00020E41" w:rsidRDefault="00020E41" w:rsidP="00CF5563">
            <w:pPr>
              <w:jc w:val="both"/>
              <w:rPr>
                <w:rFonts w:ascii="Garamond" w:hAnsi="Garamond"/>
                <w:sz w:val="24"/>
              </w:rPr>
            </w:pPr>
            <w:r>
              <w:rPr>
                <w:rFonts w:ascii="Garamond" w:hAnsi="Garamond"/>
                <w:sz w:val="24"/>
              </w:rPr>
              <w:t>Rechtsform</w:t>
            </w:r>
          </w:p>
        </w:tc>
        <w:tc>
          <w:tcPr>
            <w:tcW w:w="5953" w:type="dxa"/>
            <w:tcBorders>
              <w:top w:val="single" w:sz="4" w:space="0" w:color="auto"/>
              <w:bottom w:val="nil"/>
            </w:tcBorders>
          </w:tcPr>
          <w:p w14:paraId="5937FF91" w14:textId="77777777" w:rsidR="00020E41" w:rsidRPr="00BF11B9" w:rsidRDefault="000F0467" w:rsidP="00CF5563">
            <w:pPr>
              <w:jc w:val="both"/>
              <w:cnfStyle w:val="100000000000" w:firstRow="1" w:lastRow="0" w:firstColumn="0" w:lastColumn="0" w:oddVBand="0" w:evenVBand="0" w:oddHBand="0" w:evenHBand="0" w:firstRowFirstColumn="0" w:firstRowLastColumn="0" w:lastRowFirstColumn="0" w:lastRowLastColumn="0"/>
              <w:rPr>
                <w:rFonts w:ascii="Garamond" w:hAnsi="Garamond"/>
                <w:b w:val="0"/>
                <w:sz w:val="24"/>
              </w:rPr>
            </w:pPr>
            <w:r>
              <w:rPr>
                <w:rFonts w:ascii="Garamond" w:hAnsi="Garamond"/>
                <w:b w:val="0"/>
                <w:sz w:val="24"/>
              </w:rPr>
              <w:t>Offene Handelsgesellschaft (OHG)</w:t>
            </w:r>
          </w:p>
        </w:tc>
      </w:tr>
      <w:tr w:rsidR="00020E41" w14:paraId="647DBBB8" w14:textId="77777777" w:rsidTr="00BF11B9">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369" w:type="dxa"/>
            <w:tcBorders>
              <w:top w:val="nil"/>
            </w:tcBorders>
          </w:tcPr>
          <w:p w14:paraId="3E780DE7" w14:textId="77777777" w:rsidR="00020E41" w:rsidRDefault="00020E41" w:rsidP="00CF5563">
            <w:pPr>
              <w:jc w:val="both"/>
              <w:rPr>
                <w:rFonts w:ascii="Garamond" w:hAnsi="Garamond"/>
                <w:sz w:val="24"/>
              </w:rPr>
            </w:pPr>
            <w:r>
              <w:rPr>
                <w:rFonts w:ascii="Garamond" w:hAnsi="Garamond"/>
                <w:sz w:val="24"/>
              </w:rPr>
              <w:t>Sitz- und Produktionsstandort</w:t>
            </w:r>
          </w:p>
        </w:tc>
        <w:tc>
          <w:tcPr>
            <w:tcW w:w="5953" w:type="dxa"/>
            <w:tcBorders>
              <w:top w:val="nil"/>
            </w:tcBorders>
          </w:tcPr>
          <w:p w14:paraId="1EBA19D5" w14:textId="77777777" w:rsidR="00020E41"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Oldenburg, Deutschland</w:t>
            </w:r>
          </w:p>
        </w:tc>
      </w:tr>
      <w:tr w:rsidR="00020E41" w14:paraId="5CF2BC2B" w14:textId="77777777" w:rsidTr="00755492">
        <w:trPr>
          <w:trHeight w:val="280"/>
        </w:trPr>
        <w:tc>
          <w:tcPr>
            <w:cnfStyle w:val="001000000000" w:firstRow="0" w:lastRow="0" w:firstColumn="1" w:lastColumn="0" w:oddVBand="0" w:evenVBand="0" w:oddHBand="0" w:evenHBand="0" w:firstRowFirstColumn="0" w:firstRowLastColumn="0" w:lastRowFirstColumn="0" w:lastRowLastColumn="0"/>
            <w:tcW w:w="3369" w:type="dxa"/>
          </w:tcPr>
          <w:p w14:paraId="46977CA7" w14:textId="77777777" w:rsidR="00020E41" w:rsidRDefault="00020E41" w:rsidP="00CF5563">
            <w:pPr>
              <w:jc w:val="both"/>
              <w:rPr>
                <w:rFonts w:ascii="Garamond" w:hAnsi="Garamond"/>
                <w:sz w:val="24"/>
              </w:rPr>
            </w:pPr>
            <w:r>
              <w:rPr>
                <w:rFonts w:ascii="Garamond" w:hAnsi="Garamond"/>
                <w:sz w:val="24"/>
              </w:rPr>
              <w:t>Personalbestand</w:t>
            </w:r>
          </w:p>
        </w:tc>
        <w:tc>
          <w:tcPr>
            <w:tcW w:w="5953" w:type="dxa"/>
          </w:tcPr>
          <w:p w14:paraId="3C95E158" w14:textId="7BA93923" w:rsidR="00020E41" w:rsidRDefault="00E67ACB" w:rsidP="00CF5563">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8</w:t>
            </w:r>
            <w:r w:rsidR="00755492">
              <w:rPr>
                <w:rFonts w:ascii="Garamond" w:hAnsi="Garamond"/>
                <w:sz w:val="24"/>
              </w:rPr>
              <w:t xml:space="preserve"> MA in der Produktion</w:t>
            </w:r>
          </w:p>
        </w:tc>
      </w:tr>
      <w:tr w:rsidR="00020E41" w14:paraId="0E8558DB" w14:textId="77777777" w:rsidTr="0075549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Pr>
          <w:p w14:paraId="6729973C" w14:textId="77777777" w:rsidR="00020E41" w:rsidRDefault="00020E41" w:rsidP="00CF5563">
            <w:pPr>
              <w:jc w:val="both"/>
              <w:rPr>
                <w:rFonts w:ascii="Garamond" w:hAnsi="Garamond"/>
                <w:sz w:val="24"/>
              </w:rPr>
            </w:pPr>
            <w:r>
              <w:rPr>
                <w:rFonts w:ascii="Garamond" w:hAnsi="Garamond"/>
                <w:sz w:val="24"/>
              </w:rPr>
              <w:t>Produkt</w:t>
            </w:r>
          </w:p>
        </w:tc>
        <w:tc>
          <w:tcPr>
            <w:tcW w:w="5953" w:type="dxa"/>
          </w:tcPr>
          <w:p w14:paraId="419BBBED" w14:textId="77777777" w:rsidR="00020E41" w:rsidRDefault="000F0467"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Sneaker</w:t>
            </w:r>
          </w:p>
        </w:tc>
      </w:tr>
      <w:tr w:rsidR="00020E41" w14:paraId="79190C86" w14:textId="77777777" w:rsidTr="00755492">
        <w:trPr>
          <w:trHeight w:val="338"/>
        </w:trPr>
        <w:tc>
          <w:tcPr>
            <w:cnfStyle w:val="001000000000" w:firstRow="0" w:lastRow="0" w:firstColumn="1" w:lastColumn="0" w:oddVBand="0" w:evenVBand="0" w:oddHBand="0" w:evenHBand="0" w:firstRowFirstColumn="0" w:firstRowLastColumn="0" w:lastRowFirstColumn="0" w:lastRowLastColumn="0"/>
            <w:tcW w:w="3369" w:type="dxa"/>
          </w:tcPr>
          <w:p w14:paraId="2CAE704C" w14:textId="77777777" w:rsidR="00020E41" w:rsidRDefault="00020E41" w:rsidP="00CF5563">
            <w:pPr>
              <w:jc w:val="both"/>
              <w:rPr>
                <w:rFonts w:ascii="Garamond" w:hAnsi="Garamond"/>
                <w:sz w:val="24"/>
              </w:rPr>
            </w:pPr>
            <w:r>
              <w:rPr>
                <w:rFonts w:ascii="Garamond" w:hAnsi="Garamond"/>
                <w:sz w:val="24"/>
              </w:rPr>
              <w:t>Absatzmärkte</w:t>
            </w:r>
          </w:p>
        </w:tc>
        <w:tc>
          <w:tcPr>
            <w:tcW w:w="5953" w:type="dxa"/>
          </w:tcPr>
          <w:p w14:paraId="3B16E9ED" w14:textId="77777777" w:rsidR="00020E41" w:rsidRDefault="00755492" w:rsidP="00755492">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Einzelhandel (Direktverkauf) / Großhandel  (Ausschreibung)</w:t>
            </w:r>
          </w:p>
        </w:tc>
      </w:tr>
      <w:tr w:rsidR="00020E41" w14:paraId="0FF3A3FD" w14:textId="77777777" w:rsidTr="0075549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369" w:type="dxa"/>
          </w:tcPr>
          <w:p w14:paraId="5102724E" w14:textId="77777777" w:rsidR="00020E41" w:rsidRDefault="00755492" w:rsidP="00755492">
            <w:pPr>
              <w:jc w:val="both"/>
              <w:rPr>
                <w:rFonts w:ascii="Garamond" w:hAnsi="Garamond"/>
                <w:sz w:val="24"/>
              </w:rPr>
            </w:pPr>
            <w:r>
              <w:rPr>
                <w:rFonts w:ascii="Garamond" w:hAnsi="Garamond"/>
                <w:sz w:val="24"/>
              </w:rPr>
              <w:t>Aktuelle Maschinenk</w:t>
            </w:r>
            <w:r w:rsidR="00020E41">
              <w:rPr>
                <w:rFonts w:ascii="Garamond" w:hAnsi="Garamond"/>
                <w:sz w:val="24"/>
              </w:rPr>
              <w:t>apazität</w:t>
            </w:r>
          </w:p>
        </w:tc>
        <w:tc>
          <w:tcPr>
            <w:tcW w:w="5953" w:type="dxa"/>
          </w:tcPr>
          <w:p w14:paraId="65E7FD77" w14:textId="77777777" w:rsidR="00020E41" w:rsidRDefault="000F0467"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2</w:t>
            </w:r>
            <w:r w:rsidR="00755492">
              <w:rPr>
                <w:rFonts w:ascii="Garamond" w:hAnsi="Garamond"/>
                <w:sz w:val="24"/>
              </w:rPr>
              <w:t>00 Stück</w:t>
            </w:r>
          </w:p>
        </w:tc>
      </w:tr>
      <w:tr w:rsidR="00755492" w14:paraId="2FF91431" w14:textId="77777777" w:rsidTr="00755492">
        <w:trPr>
          <w:trHeight w:val="280"/>
        </w:trPr>
        <w:tc>
          <w:tcPr>
            <w:cnfStyle w:val="001000000000" w:firstRow="0" w:lastRow="0" w:firstColumn="1" w:lastColumn="0" w:oddVBand="0" w:evenVBand="0" w:oddHBand="0" w:evenHBand="0" w:firstRowFirstColumn="0" w:firstRowLastColumn="0" w:lastRowFirstColumn="0" w:lastRowLastColumn="0"/>
            <w:tcW w:w="3369" w:type="dxa"/>
          </w:tcPr>
          <w:p w14:paraId="10E6C7A7" w14:textId="77777777" w:rsidR="00755492" w:rsidRDefault="00755492" w:rsidP="00755492">
            <w:pPr>
              <w:jc w:val="both"/>
              <w:rPr>
                <w:rFonts w:ascii="Garamond" w:hAnsi="Garamond"/>
                <w:sz w:val="24"/>
              </w:rPr>
            </w:pPr>
            <w:r>
              <w:rPr>
                <w:rFonts w:ascii="Garamond" w:hAnsi="Garamond"/>
                <w:sz w:val="24"/>
              </w:rPr>
              <w:t>Aktuelle Personalkapazität</w:t>
            </w:r>
          </w:p>
        </w:tc>
        <w:tc>
          <w:tcPr>
            <w:tcW w:w="5953" w:type="dxa"/>
          </w:tcPr>
          <w:p w14:paraId="008601A0" w14:textId="330E7AAB" w:rsidR="00755492" w:rsidRDefault="000F0467" w:rsidP="00B41664">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1</w:t>
            </w:r>
            <w:r w:rsidR="00E67ACB">
              <w:rPr>
                <w:rFonts w:ascii="Garamond" w:hAnsi="Garamond"/>
                <w:sz w:val="24"/>
              </w:rPr>
              <w:t>6</w:t>
            </w:r>
            <w:r>
              <w:rPr>
                <w:rFonts w:ascii="Garamond" w:hAnsi="Garamond"/>
                <w:sz w:val="24"/>
              </w:rPr>
              <w:t>0</w:t>
            </w:r>
            <w:r w:rsidR="00755492">
              <w:rPr>
                <w:rFonts w:ascii="Garamond" w:hAnsi="Garamond"/>
                <w:sz w:val="24"/>
              </w:rPr>
              <w:t xml:space="preserve"> Stück</w:t>
            </w:r>
          </w:p>
        </w:tc>
      </w:tr>
      <w:tr w:rsidR="00755492" w14:paraId="732216B5" w14:textId="77777777" w:rsidTr="0075549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3369" w:type="dxa"/>
          </w:tcPr>
          <w:p w14:paraId="01887712" w14:textId="77777777" w:rsidR="00755492" w:rsidRDefault="00755492" w:rsidP="00CF5563">
            <w:pPr>
              <w:jc w:val="both"/>
              <w:rPr>
                <w:rFonts w:ascii="Garamond" w:hAnsi="Garamond"/>
                <w:sz w:val="24"/>
              </w:rPr>
            </w:pPr>
            <w:r>
              <w:rPr>
                <w:rFonts w:ascii="Garamond" w:hAnsi="Garamond"/>
                <w:sz w:val="24"/>
              </w:rPr>
              <w:t>Lager</w:t>
            </w:r>
          </w:p>
        </w:tc>
        <w:tc>
          <w:tcPr>
            <w:tcW w:w="5953" w:type="dxa"/>
          </w:tcPr>
          <w:p w14:paraId="6B4C8F4B" w14:textId="77777777" w:rsidR="00755492" w:rsidRDefault="000F0467"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0,00</w:t>
            </w:r>
            <w:r w:rsidR="00755492">
              <w:rPr>
                <w:rFonts w:ascii="Garamond" w:hAnsi="Garamond"/>
                <w:sz w:val="24"/>
              </w:rPr>
              <w:t xml:space="preserve"> Stück</w:t>
            </w:r>
          </w:p>
        </w:tc>
      </w:tr>
      <w:tr w:rsidR="00755492" w14:paraId="7F17303F" w14:textId="77777777" w:rsidTr="00755492">
        <w:trPr>
          <w:trHeight w:val="262"/>
        </w:trPr>
        <w:tc>
          <w:tcPr>
            <w:cnfStyle w:val="001000000000" w:firstRow="0" w:lastRow="0" w:firstColumn="1" w:lastColumn="0" w:oddVBand="0" w:evenVBand="0" w:oddHBand="0" w:evenHBand="0" w:firstRowFirstColumn="0" w:firstRowLastColumn="0" w:lastRowFirstColumn="0" w:lastRowLastColumn="0"/>
            <w:tcW w:w="3369" w:type="dxa"/>
          </w:tcPr>
          <w:p w14:paraId="7DCE2572" w14:textId="77777777" w:rsidR="00755492" w:rsidRDefault="00755492" w:rsidP="00CF5563">
            <w:pPr>
              <w:jc w:val="both"/>
              <w:rPr>
                <w:rFonts w:ascii="Garamond" w:hAnsi="Garamond"/>
                <w:sz w:val="24"/>
              </w:rPr>
            </w:pPr>
            <w:r>
              <w:rPr>
                <w:rFonts w:ascii="Garamond" w:hAnsi="Garamond"/>
                <w:sz w:val="24"/>
              </w:rPr>
              <w:t>Eigenkapital</w:t>
            </w:r>
          </w:p>
        </w:tc>
        <w:tc>
          <w:tcPr>
            <w:tcW w:w="5953" w:type="dxa"/>
          </w:tcPr>
          <w:p w14:paraId="687F84D1" w14:textId="77777777" w:rsidR="00755492" w:rsidRDefault="000F0467" w:rsidP="00CF5563">
            <w:pPr>
              <w:jc w:val="both"/>
              <w:cnfStyle w:val="000000000000" w:firstRow="0" w:lastRow="0" w:firstColumn="0" w:lastColumn="0" w:oddVBand="0" w:evenVBand="0" w:oddHBand="0" w:evenHBand="0" w:firstRowFirstColumn="0" w:firstRowLastColumn="0" w:lastRowFirstColumn="0" w:lastRowLastColumn="0"/>
              <w:rPr>
                <w:rFonts w:ascii="Garamond" w:hAnsi="Garamond"/>
                <w:sz w:val="24"/>
              </w:rPr>
            </w:pPr>
            <w:r>
              <w:rPr>
                <w:rFonts w:ascii="Garamond" w:hAnsi="Garamond"/>
                <w:sz w:val="24"/>
              </w:rPr>
              <w:t>15</w:t>
            </w:r>
            <w:r w:rsidR="00755492">
              <w:rPr>
                <w:rFonts w:ascii="Garamond" w:hAnsi="Garamond"/>
                <w:sz w:val="24"/>
              </w:rPr>
              <w:t>.000,00 €</w:t>
            </w:r>
          </w:p>
        </w:tc>
      </w:tr>
      <w:tr w:rsidR="00755492" w14:paraId="1698A6C8" w14:textId="77777777" w:rsidTr="0075549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3369" w:type="dxa"/>
          </w:tcPr>
          <w:p w14:paraId="37A2D76D" w14:textId="77777777" w:rsidR="00755492" w:rsidRDefault="00755492" w:rsidP="00CF5563">
            <w:pPr>
              <w:jc w:val="both"/>
              <w:rPr>
                <w:rFonts w:ascii="Garamond" w:hAnsi="Garamond"/>
                <w:sz w:val="24"/>
              </w:rPr>
            </w:pPr>
            <w:r>
              <w:rPr>
                <w:rFonts w:ascii="Garamond" w:hAnsi="Garamond"/>
                <w:sz w:val="24"/>
              </w:rPr>
              <w:t>Fremdkapital</w:t>
            </w:r>
          </w:p>
        </w:tc>
        <w:tc>
          <w:tcPr>
            <w:tcW w:w="5953" w:type="dxa"/>
          </w:tcPr>
          <w:p w14:paraId="7D2F31DB" w14:textId="77777777" w:rsidR="00755492" w:rsidRDefault="00755492" w:rsidP="00CF5563">
            <w:pPr>
              <w:jc w:val="both"/>
              <w:cnfStyle w:val="000000100000" w:firstRow="0" w:lastRow="0" w:firstColumn="0" w:lastColumn="0" w:oddVBand="0" w:evenVBand="0" w:oddHBand="1" w:evenHBand="0" w:firstRowFirstColumn="0" w:firstRowLastColumn="0" w:lastRowFirstColumn="0" w:lastRowLastColumn="0"/>
              <w:rPr>
                <w:rFonts w:ascii="Garamond" w:hAnsi="Garamond"/>
                <w:sz w:val="24"/>
              </w:rPr>
            </w:pPr>
            <w:r>
              <w:rPr>
                <w:rFonts w:ascii="Garamond" w:hAnsi="Garamond"/>
                <w:sz w:val="24"/>
              </w:rPr>
              <w:t>0,00 €</w:t>
            </w:r>
          </w:p>
        </w:tc>
      </w:tr>
    </w:tbl>
    <w:p w14:paraId="794302D2" w14:textId="77777777" w:rsidR="00020E41" w:rsidRDefault="00020E41" w:rsidP="00CF5563">
      <w:pPr>
        <w:jc w:val="both"/>
        <w:rPr>
          <w:rFonts w:ascii="Garamond" w:hAnsi="Garamond"/>
          <w:sz w:val="24"/>
        </w:rPr>
      </w:pPr>
    </w:p>
    <w:p w14:paraId="1AD02D06" w14:textId="77777777" w:rsidR="00C13AD0" w:rsidRDefault="00C13AD0" w:rsidP="00CF5563">
      <w:pPr>
        <w:jc w:val="both"/>
        <w:rPr>
          <w:rFonts w:ascii="Garamond" w:hAnsi="Garamond"/>
          <w:sz w:val="24"/>
        </w:rPr>
      </w:pPr>
    </w:p>
    <w:p w14:paraId="3F5C0709" w14:textId="77777777" w:rsidR="00C13AD0" w:rsidRDefault="00C13AD0" w:rsidP="00CF5563">
      <w:pPr>
        <w:jc w:val="both"/>
        <w:rPr>
          <w:rFonts w:ascii="Garamond" w:hAnsi="Garamond"/>
          <w:sz w:val="24"/>
        </w:rPr>
      </w:pPr>
    </w:p>
    <w:p w14:paraId="4CEBD638" w14:textId="77777777" w:rsidR="00C13AD0" w:rsidRPr="00E86C7D" w:rsidRDefault="00C13AD0" w:rsidP="00C13AD0">
      <w:pPr>
        <w:spacing w:after="0"/>
        <w:jc w:val="center"/>
        <w:rPr>
          <w:rFonts w:ascii="Garamond" w:hAnsi="Garamond"/>
          <w:sz w:val="20"/>
        </w:rPr>
      </w:pPr>
      <w:r w:rsidRPr="00E86C7D">
        <w:rPr>
          <w:rFonts w:ascii="Garamond" w:hAnsi="Garamond"/>
          <w:sz w:val="20"/>
        </w:rPr>
        <w:lastRenderedPageBreak/>
        <w:t>Einführungsphase BRC – 11. Jahrgang</w:t>
      </w:r>
    </w:p>
    <w:p w14:paraId="0E861117" w14:textId="694720BD" w:rsidR="00C13AD0" w:rsidRPr="00E86C7D" w:rsidRDefault="00B356BC" w:rsidP="00C13AD0">
      <w:pPr>
        <w:pBdr>
          <w:bottom w:val="single" w:sz="4" w:space="1" w:color="auto"/>
        </w:pBdr>
        <w:spacing w:after="0"/>
        <w:jc w:val="center"/>
        <w:rPr>
          <w:rFonts w:ascii="Garamond" w:hAnsi="Garamond"/>
          <w:b/>
          <w:sz w:val="28"/>
        </w:rPr>
      </w:pPr>
      <w:proofErr w:type="spellStart"/>
      <w:r>
        <w:rPr>
          <w:rFonts w:ascii="Garamond" w:hAnsi="Garamond"/>
          <w:b/>
          <w:sz w:val="28"/>
        </w:rPr>
        <w:t>mySneaker</w:t>
      </w:r>
      <w:proofErr w:type="spellEnd"/>
      <w:r w:rsidR="00C13AD0">
        <w:rPr>
          <w:rFonts w:ascii="Garamond" w:hAnsi="Garamond"/>
          <w:b/>
          <w:sz w:val="28"/>
        </w:rPr>
        <w:t xml:space="preserve"> – Einführung und Anleitung</w:t>
      </w:r>
    </w:p>
    <w:p w14:paraId="52FC0E3B" w14:textId="77777777" w:rsidR="00B356BC" w:rsidRDefault="00B356BC" w:rsidP="00B356BC">
      <w:pPr>
        <w:spacing w:after="0"/>
        <w:jc w:val="both"/>
        <w:rPr>
          <w:rFonts w:ascii="Garamond" w:eastAsia="Times New Roman" w:hAnsi="Garamond" w:cs="Arial"/>
          <w:sz w:val="24"/>
          <w:szCs w:val="24"/>
          <w:lang w:eastAsia="de-DE"/>
        </w:rPr>
      </w:pPr>
    </w:p>
    <w:p w14:paraId="0F85A89C" w14:textId="54BCBF5C" w:rsidR="00F35DC1" w:rsidRDefault="00B356BC" w:rsidP="00F35DC1">
      <w:pPr>
        <w:spacing w:after="0"/>
        <w:jc w:val="both"/>
        <w:rPr>
          <w:rFonts w:ascii="Garamond" w:eastAsia="Times New Roman" w:hAnsi="Garamond" w:cs="Arial"/>
          <w:sz w:val="24"/>
          <w:szCs w:val="24"/>
          <w:lang w:eastAsia="de-DE"/>
        </w:rPr>
      </w:pPr>
      <w:r>
        <w:rPr>
          <w:rFonts w:ascii="Garamond" w:eastAsia="Times New Roman" w:hAnsi="Garamond" w:cs="Arial"/>
          <w:sz w:val="24"/>
          <w:szCs w:val="24"/>
          <w:lang w:eastAsia="de-DE"/>
        </w:rPr>
        <w:t>I</w:t>
      </w:r>
      <w:r w:rsidR="00DC7723" w:rsidRPr="00B356BC">
        <w:rPr>
          <w:rFonts w:ascii="Garamond" w:eastAsia="Times New Roman" w:hAnsi="Garamond" w:cs="Arial"/>
          <w:sz w:val="24"/>
          <w:szCs w:val="24"/>
          <w:lang w:eastAsia="de-DE"/>
        </w:rPr>
        <w:t xml:space="preserve">m Wettbewerb mit den anderen Anbietern ist </w:t>
      </w:r>
      <w:r>
        <w:rPr>
          <w:rFonts w:ascii="Garamond" w:eastAsia="Times New Roman" w:hAnsi="Garamond" w:cs="Arial"/>
          <w:sz w:val="24"/>
          <w:szCs w:val="24"/>
          <w:lang w:eastAsia="de-DE"/>
        </w:rPr>
        <w:t>die Entscheidung über den</w:t>
      </w:r>
      <w:r w:rsidR="00DC7723" w:rsidRPr="00B356BC">
        <w:rPr>
          <w:rFonts w:ascii="Garamond" w:eastAsia="Times New Roman" w:hAnsi="Garamond" w:cs="Arial"/>
          <w:sz w:val="24"/>
          <w:szCs w:val="24"/>
          <w:lang w:eastAsia="de-DE"/>
        </w:rPr>
        <w:t xml:space="preserve"> Preis ein </w:t>
      </w:r>
      <w:r>
        <w:rPr>
          <w:rFonts w:ascii="Garamond" w:eastAsia="Times New Roman" w:hAnsi="Garamond" w:cs="Arial"/>
          <w:sz w:val="24"/>
          <w:szCs w:val="24"/>
          <w:lang w:eastAsia="de-DE"/>
        </w:rPr>
        <w:t>wesentliches Erfolgskriterium</w:t>
      </w:r>
      <w:r w:rsidR="00DC7723" w:rsidRPr="00B356BC">
        <w:rPr>
          <w:rFonts w:ascii="Garamond" w:eastAsia="Times New Roman" w:hAnsi="Garamond" w:cs="Arial"/>
          <w:sz w:val="24"/>
          <w:szCs w:val="24"/>
          <w:lang w:eastAsia="de-DE"/>
        </w:rPr>
        <w:t xml:space="preserve">. </w:t>
      </w:r>
      <w:r>
        <w:rPr>
          <w:rFonts w:ascii="Garamond" w:eastAsia="Times New Roman" w:hAnsi="Garamond" w:cs="Arial"/>
          <w:sz w:val="24"/>
          <w:szCs w:val="24"/>
          <w:lang w:eastAsia="de-DE"/>
        </w:rPr>
        <w:t xml:space="preserve">Generell gilt, dass die Konsumenten einen maximalen Preis von 300,00 € akzeptieren („Preisobergrenze“). Die Preisgestaltung unterhalb der Preisobergrenze obliegt dabei </w:t>
      </w:r>
      <w:r w:rsidR="00950F8C">
        <w:rPr>
          <w:rFonts w:ascii="Garamond" w:eastAsia="Times New Roman" w:hAnsi="Garamond" w:cs="Arial"/>
          <w:sz w:val="24"/>
          <w:szCs w:val="24"/>
          <w:lang w:eastAsia="de-DE"/>
        </w:rPr>
        <w:t>I</w:t>
      </w:r>
      <w:r>
        <w:rPr>
          <w:rFonts w:ascii="Garamond" w:eastAsia="Times New Roman" w:hAnsi="Garamond" w:cs="Arial"/>
          <w:sz w:val="24"/>
          <w:szCs w:val="24"/>
          <w:lang w:eastAsia="de-DE"/>
        </w:rPr>
        <w:t xml:space="preserve">hrer Entscheidung. Je nachdem wie sich </w:t>
      </w:r>
      <w:r w:rsidR="00950F8C">
        <w:rPr>
          <w:rFonts w:ascii="Garamond" w:eastAsia="Times New Roman" w:hAnsi="Garamond" w:cs="Arial"/>
          <w:sz w:val="24"/>
          <w:szCs w:val="24"/>
          <w:lang w:eastAsia="de-DE"/>
        </w:rPr>
        <w:t>I</w:t>
      </w:r>
      <w:r>
        <w:rPr>
          <w:rFonts w:ascii="Garamond" w:eastAsia="Times New Roman" w:hAnsi="Garamond" w:cs="Arial"/>
          <w:sz w:val="24"/>
          <w:szCs w:val="24"/>
          <w:lang w:eastAsia="de-DE"/>
        </w:rPr>
        <w:t xml:space="preserve">hre Wettbewerber verhalten, verkaufen </w:t>
      </w:r>
      <w:r w:rsidR="00950F8C">
        <w:rPr>
          <w:rFonts w:ascii="Garamond" w:eastAsia="Times New Roman" w:hAnsi="Garamond" w:cs="Arial"/>
          <w:sz w:val="24"/>
          <w:szCs w:val="24"/>
          <w:lang w:eastAsia="de-DE"/>
        </w:rPr>
        <w:t>S</w:t>
      </w:r>
      <w:r>
        <w:rPr>
          <w:rFonts w:ascii="Garamond" w:eastAsia="Times New Roman" w:hAnsi="Garamond" w:cs="Arial"/>
          <w:sz w:val="24"/>
          <w:szCs w:val="24"/>
          <w:lang w:eastAsia="de-DE"/>
        </w:rPr>
        <w:t>ie entweder mehr oder weniger Produkte</w:t>
      </w:r>
      <w:r w:rsidR="00F35DC1">
        <w:rPr>
          <w:rFonts w:ascii="Garamond" w:eastAsia="Times New Roman" w:hAnsi="Garamond" w:cs="Arial"/>
          <w:sz w:val="24"/>
          <w:szCs w:val="24"/>
          <w:lang w:eastAsia="de-DE"/>
        </w:rPr>
        <w:t>.</w:t>
      </w:r>
      <w:r w:rsidR="00DC7723" w:rsidRPr="00B356BC">
        <w:rPr>
          <w:rFonts w:ascii="Garamond" w:eastAsia="Times New Roman" w:hAnsi="Garamond" w:cs="Arial"/>
          <w:sz w:val="24"/>
          <w:szCs w:val="24"/>
          <w:lang w:eastAsia="de-DE"/>
        </w:rPr>
        <w:t xml:space="preserve"> </w:t>
      </w:r>
    </w:p>
    <w:p w14:paraId="089A1E69" w14:textId="77777777" w:rsidR="00F35DC1" w:rsidRDefault="00F35DC1" w:rsidP="00F35DC1">
      <w:pPr>
        <w:spacing w:after="0"/>
        <w:jc w:val="both"/>
        <w:rPr>
          <w:rFonts w:ascii="Garamond" w:eastAsia="Times New Roman" w:hAnsi="Garamond" w:cs="Arial"/>
          <w:sz w:val="24"/>
          <w:szCs w:val="24"/>
          <w:lang w:eastAsia="de-DE"/>
        </w:rPr>
      </w:pPr>
    </w:p>
    <w:p w14:paraId="6BD35F5A" w14:textId="63DAE90A" w:rsidR="00F35DC1" w:rsidRDefault="00F35DC1" w:rsidP="00F35DC1">
      <w:pPr>
        <w:spacing w:after="0"/>
        <w:jc w:val="both"/>
        <w:rPr>
          <w:rFonts w:ascii="Garamond" w:eastAsia="Times New Roman" w:hAnsi="Garamond" w:cs="Arial"/>
          <w:sz w:val="24"/>
          <w:szCs w:val="24"/>
          <w:lang w:eastAsia="de-DE"/>
        </w:rPr>
      </w:pPr>
      <w:r>
        <w:rPr>
          <w:rFonts w:ascii="Garamond" w:eastAsia="Times New Roman" w:hAnsi="Garamond" w:cs="Arial"/>
          <w:sz w:val="24"/>
          <w:szCs w:val="24"/>
          <w:lang w:eastAsia="de-DE"/>
        </w:rPr>
        <w:t xml:space="preserve">Achten Sie zudem darauf, dass </w:t>
      </w:r>
      <w:r w:rsidR="00950F8C">
        <w:rPr>
          <w:rFonts w:ascii="Garamond" w:eastAsia="Times New Roman" w:hAnsi="Garamond" w:cs="Arial"/>
          <w:sz w:val="24"/>
          <w:szCs w:val="24"/>
          <w:lang w:eastAsia="de-DE"/>
        </w:rPr>
        <w:t>I</w:t>
      </w:r>
      <w:r>
        <w:rPr>
          <w:rFonts w:ascii="Garamond" w:eastAsia="Times New Roman" w:hAnsi="Garamond" w:cs="Arial"/>
          <w:sz w:val="24"/>
          <w:szCs w:val="24"/>
          <w:lang w:eastAsia="de-DE"/>
        </w:rPr>
        <w:t xml:space="preserve">hr Preis kostendeckend ist. Ist der </w:t>
      </w:r>
      <w:r w:rsidR="00DC7723" w:rsidRPr="00B356BC">
        <w:rPr>
          <w:rFonts w:ascii="Garamond" w:eastAsia="Times New Roman" w:hAnsi="Garamond" w:cs="Arial"/>
          <w:sz w:val="24"/>
          <w:szCs w:val="24"/>
          <w:lang w:eastAsia="de-DE"/>
        </w:rPr>
        <w:t xml:space="preserve">Preis z. B. </w:t>
      </w:r>
      <w:r>
        <w:rPr>
          <w:rFonts w:ascii="Garamond" w:eastAsia="Times New Roman" w:hAnsi="Garamond" w:cs="Arial"/>
          <w:sz w:val="24"/>
          <w:szCs w:val="24"/>
          <w:lang w:eastAsia="de-DE"/>
        </w:rPr>
        <w:t>zu</w:t>
      </w:r>
      <w:r w:rsidRPr="00B356BC">
        <w:rPr>
          <w:rFonts w:ascii="Garamond" w:eastAsia="Times New Roman" w:hAnsi="Garamond" w:cs="Arial"/>
          <w:sz w:val="24"/>
          <w:szCs w:val="24"/>
          <w:lang w:eastAsia="de-DE"/>
        </w:rPr>
        <w:t xml:space="preserve"> niedrig</w:t>
      </w:r>
      <w:r w:rsidR="00DC7723" w:rsidRPr="00B356BC">
        <w:rPr>
          <w:rFonts w:ascii="Garamond" w:eastAsia="Times New Roman" w:hAnsi="Garamond" w:cs="Arial"/>
          <w:sz w:val="24"/>
          <w:szCs w:val="24"/>
          <w:lang w:eastAsia="de-DE"/>
        </w:rPr>
        <w:t>, kann zwar der Umsatz durch einen erhöhten Absatz steigen, jedoch reicht dieser Umsatz unter Umständen nicht mehr aus, um die Kosten zu decken. Ebenso können Sie mit überhöhten Preisen auch Umsatzeinbußen erleiden, wenn Sie wegen einer Hochpreis-Strategie Kunden an die Konkurrenz verlieren.</w:t>
      </w:r>
    </w:p>
    <w:p w14:paraId="74444671" w14:textId="77777777" w:rsidR="00F35DC1" w:rsidRDefault="00F35DC1" w:rsidP="00F35DC1">
      <w:pPr>
        <w:spacing w:after="0"/>
        <w:jc w:val="both"/>
        <w:rPr>
          <w:rFonts w:ascii="Garamond" w:eastAsia="Times New Roman" w:hAnsi="Garamond" w:cs="Arial"/>
          <w:sz w:val="24"/>
          <w:szCs w:val="24"/>
          <w:lang w:eastAsia="de-DE"/>
        </w:rPr>
      </w:pPr>
    </w:p>
    <w:p w14:paraId="1718D45E" w14:textId="77777777" w:rsidR="00B356BC" w:rsidRPr="00B356BC" w:rsidRDefault="00B356BC" w:rsidP="00B356BC">
      <w:pPr>
        <w:jc w:val="both"/>
        <w:rPr>
          <w:rFonts w:ascii="Garamond" w:hAnsi="Garamond"/>
          <w:sz w:val="24"/>
          <w:szCs w:val="24"/>
        </w:rPr>
      </w:pPr>
    </w:p>
    <w:sectPr w:rsidR="00B356BC" w:rsidRPr="00B356B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F7357" w14:textId="77777777" w:rsidR="009259A8" w:rsidRDefault="009259A8" w:rsidP="00CF5563">
      <w:pPr>
        <w:spacing w:after="0" w:line="240" w:lineRule="auto"/>
      </w:pPr>
      <w:r>
        <w:separator/>
      </w:r>
    </w:p>
  </w:endnote>
  <w:endnote w:type="continuationSeparator" w:id="0">
    <w:p w14:paraId="17F65D56" w14:textId="77777777" w:rsidR="009259A8" w:rsidRDefault="009259A8" w:rsidP="00CF5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36EB3" w14:textId="77777777" w:rsidR="009259A8" w:rsidRDefault="009259A8" w:rsidP="00CF5563">
      <w:pPr>
        <w:spacing w:after="0" w:line="240" w:lineRule="auto"/>
      </w:pPr>
      <w:r>
        <w:separator/>
      </w:r>
    </w:p>
  </w:footnote>
  <w:footnote w:type="continuationSeparator" w:id="0">
    <w:p w14:paraId="4ECE0A3E" w14:textId="77777777" w:rsidR="009259A8" w:rsidRDefault="009259A8" w:rsidP="00CF5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67C5D" w14:textId="77777777" w:rsidR="00CF5563" w:rsidRDefault="00CF5563">
    <w:pPr>
      <w:pStyle w:val="Kopfzeile"/>
    </w:pPr>
    <w:r w:rsidRPr="00CF5563">
      <w:rPr>
        <w:noProof/>
        <w:lang w:eastAsia="de-DE"/>
      </w:rPr>
      <w:drawing>
        <wp:anchor distT="0" distB="0" distL="114300" distR="114300" simplePos="0" relativeHeight="251660288" behindDoc="0" locked="0" layoutInCell="1" allowOverlap="1" wp14:anchorId="08DC7EB4" wp14:editId="0DF5648F">
          <wp:simplePos x="0" y="0"/>
          <wp:positionH relativeFrom="column">
            <wp:posOffset>-99060</wp:posOffset>
          </wp:positionH>
          <wp:positionV relativeFrom="paragraph">
            <wp:posOffset>-35560</wp:posOffset>
          </wp:positionV>
          <wp:extent cx="2428875" cy="318770"/>
          <wp:effectExtent l="0" t="0" r="9525" b="5080"/>
          <wp:wrapSquare wrapText="bothSides"/>
          <wp:docPr id="11" name="Grafik 11" descr="http://www.bbs-haarentor.de/fileadmin/_migrated/pics/Claim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http://www.bbs-haarentor.de/fileadmin/_migrated/pics/Claim_40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887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563">
      <w:rPr>
        <w:noProof/>
        <w:lang w:eastAsia="de-DE"/>
      </w:rPr>
      <w:drawing>
        <wp:anchor distT="0" distB="0" distL="114300" distR="114300" simplePos="0" relativeHeight="251659264" behindDoc="1" locked="0" layoutInCell="1" allowOverlap="1" wp14:anchorId="1A1F7906" wp14:editId="4472A210">
          <wp:simplePos x="0" y="0"/>
          <wp:positionH relativeFrom="column">
            <wp:posOffset>2959012</wp:posOffset>
          </wp:positionH>
          <wp:positionV relativeFrom="paragraph">
            <wp:posOffset>-152804</wp:posOffset>
          </wp:positionV>
          <wp:extent cx="3327400" cy="531495"/>
          <wp:effectExtent l="0" t="0" r="0" b="190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37120" r="12800" b="39755"/>
                  <a:stretch/>
                </pic:blipFill>
                <pic:spPr bwMode="auto">
                  <a:xfrm>
                    <a:off x="0" y="0"/>
                    <a:ext cx="3327400" cy="531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374"/>
    <w:rsid w:val="00020E41"/>
    <w:rsid w:val="000E22F8"/>
    <w:rsid w:val="000F0467"/>
    <w:rsid w:val="00327844"/>
    <w:rsid w:val="00350374"/>
    <w:rsid w:val="00396364"/>
    <w:rsid w:val="003D0DB9"/>
    <w:rsid w:val="0046343E"/>
    <w:rsid w:val="004C750D"/>
    <w:rsid w:val="00501D98"/>
    <w:rsid w:val="00586E0E"/>
    <w:rsid w:val="00673DB0"/>
    <w:rsid w:val="00755492"/>
    <w:rsid w:val="007C4E9D"/>
    <w:rsid w:val="007F63C7"/>
    <w:rsid w:val="007F6AFF"/>
    <w:rsid w:val="00856111"/>
    <w:rsid w:val="009259A8"/>
    <w:rsid w:val="00950F8C"/>
    <w:rsid w:val="00A24AE2"/>
    <w:rsid w:val="00B356BC"/>
    <w:rsid w:val="00B77BC1"/>
    <w:rsid w:val="00BF11B9"/>
    <w:rsid w:val="00C13AD0"/>
    <w:rsid w:val="00C32AF3"/>
    <w:rsid w:val="00C71C7E"/>
    <w:rsid w:val="00CE0C04"/>
    <w:rsid w:val="00CF5563"/>
    <w:rsid w:val="00D603BD"/>
    <w:rsid w:val="00DC7723"/>
    <w:rsid w:val="00E02713"/>
    <w:rsid w:val="00E67ACB"/>
    <w:rsid w:val="00F35DC1"/>
    <w:rsid w:val="00F61A4B"/>
    <w:rsid w:val="00F738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F740"/>
  <w15:docId w15:val="{7EF5850E-F392-854E-B74B-EC709427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F556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55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563"/>
  </w:style>
  <w:style w:type="paragraph" w:styleId="Fuzeile">
    <w:name w:val="footer"/>
    <w:basedOn w:val="Standard"/>
    <w:link w:val="FuzeileZchn"/>
    <w:uiPriority w:val="99"/>
    <w:unhideWhenUsed/>
    <w:rsid w:val="00CF55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5563"/>
  </w:style>
  <w:style w:type="paragraph" w:styleId="Sprechblasentext">
    <w:name w:val="Balloon Text"/>
    <w:basedOn w:val="Standard"/>
    <w:link w:val="SprechblasentextZchn"/>
    <w:uiPriority w:val="99"/>
    <w:semiHidden/>
    <w:unhideWhenUsed/>
    <w:rsid w:val="00CF5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563"/>
    <w:rPr>
      <w:rFonts w:ascii="Tahoma" w:hAnsi="Tahoma" w:cs="Tahoma"/>
      <w:sz w:val="16"/>
      <w:szCs w:val="16"/>
    </w:rPr>
  </w:style>
  <w:style w:type="paragraph" w:styleId="Beschriftung">
    <w:name w:val="caption"/>
    <w:basedOn w:val="Standard"/>
    <w:next w:val="Standard"/>
    <w:uiPriority w:val="35"/>
    <w:unhideWhenUsed/>
    <w:qFormat/>
    <w:rsid w:val="004C750D"/>
    <w:pPr>
      <w:spacing w:line="240" w:lineRule="auto"/>
    </w:pPr>
    <w:rPr>
      <w:b/>
      <w:bCs/>
      <w:color w:val="4F81BD" w:themeColor="accent1"/>
      <w:sz w:val="18"/>
      <w:szCs w:val="18"/>
    </w:rPr>
  </w:style>
  <w:style w:type="table" w:styleId="Tabellenraster">
    <w:name w:val="Table Grid"/>
    <w:basedOn w:val="NormaleTabelle"/>
    <w:uiPriority w:val="59"/>
    <w:rsid w:val="0002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75549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9792">
      <w:bodyDiv w:val="1"/>
      <w:marLeft w:val="0"/>
      <w:marRight w:val="0"/>
      <w:marTop w:val="0"/>
      <w:marBottom w:val="0"/>
      <w:divBdr>
        <w:top w:val="none" w:sz="0" w:space="0" w:color="auto"/>
        <w:left w:val="none" w:sz="0" w:space="0" w:color="auto"/>
        <w:bottom w:val="none" w:sz="0" w:space="0" w:color="auto"/>
        <w:right w:val="none" w:sz="0" w:space="0" w:color="auto"/>
      </w:divBdr>
    </w:div>
    <w:div w:id="13225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2503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F.Komm</dc:creator>
  <cp:keywords/>
  <dc:description/>
  <cp:lastModifiedBy>Fabian Komm (BBS Haarentor)</cp:lastModifiedBy>
  <cp:revision>18</cp:revision>
  <dcterms:created xsi:type="dcterms:W3CDTF">2020-06-10T07:49:00Z</dcterms:created>
  <dcterms:modified xsi:type="dcterms:W3CDTF">2021-09-12T17:37:00Z</dcterms:modified>
</cp:coreProperties>
</file>