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Trial Design Review</w:t>
      </w:r>
    </w:p>
    <w:p>
      <w:pPr>
        <w:spacing w:after="240"/>
      </w:pPr>
      <w:r>
        <w:rPr>
          <w:i/>
          <w:iCs/>
          <w:color w:val="44546A"/>
          <w:sz w:val="24"/>
          <w:szCs w:val="24"/>
        </w:rPr>
        <w:t xml:space="preserve">doi.org/10.1056/nejmoa2505669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Trial ID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doi.org/10.1056/nejmoa2505669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Submitted by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tianyu_zheng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Submitted at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2026-08-17T14:06:02.633868+00:00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2026-08-17T14-06-02-633868+00-00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Submission ID</w:t>
            </w:r>
          </w:p>
        </w:tc>
        <w:tc>
          <w:tcPr>
            <w:tcW w:type="dxa" w:w="7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submissions/doi_org_10_1056_nejmoa2505669__tianyu_zheng/2026-08-17T14-06-02-633868+00-00.json</w:t>
            </w:r>
          </w:p>
        </w:tc>
      </w:tr>
    </w:tbl>
    <w:p>
      <w:pPr>
        <w:pStyle w:val="Heading1"/>
        <w:spacing w:after="160" w:before="360"/>
      </w:pPr>
      <w:r>
        <w:t xml:space="preserve">Prompt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900"/>
        <w:gridCol w:w="3880"/>
      </w:tblGrid>
      <w:tr>
        <w:trPr>
          <w:tblHeader/>
        </w:trPr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Design element</w:t>
            </w:r>
          </w:p>
        </w:tc>
        <w:tc>
          <w:tcPr>
            <w:tcW w:type="dxa" w:w="1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P-001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Hypotheses/Endpoints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extraction only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9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P-002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Multiplicity control</w:t>
            </w:r>
          </w:p>
        </w:tc>
        <w:tc>
          <w:tcPr>
            <w:tcW w:type="dxa" w:w="19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extraction only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P-003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 size and power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extraction only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P-004</w:t>
            </w:r>
          </w:p>
        </w:tc>
        <w:tc>
          <w:tcPr>
            <w:tcW w:type="dxa" w:w="3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 size and power</w:t>
            </w:r>
          </w:p>
        </w:tc>
        <w:tc>
          <w:tcPr>
            <w:tcW w:type="dxa" w:w="19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derivation required</w:t>
            </w:r>
          </w:p>
        </w:tc>
        <w:tc>
          <w:tcPr>
            <w:tcW w:type="dxa" w:w="38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P-005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Interim analyses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extraction only</w:t>
            </w:r>
          </w:p>
        </w:tc>
        <w:tc>
          <w:tcPr>
            <w:tcW w:type="dxa" w:w="3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48</w:t>
            </w:r>
          </w:p>
        </w:tc>
      </w:tr>
    </w:tbl>
    <w:p>
      <w:pPr>
        <w:pStyle w:val="Heading1"/>
        <w:spacing w:after="160" w:before="360"/>
      </w:pPr>
      <w:r>
        <w:t xml:space="preserve">P-001 · Hypotheses/Endpoints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 type: </w:t>
      </w:r>
      <w:r>
        <w:rPr>
          <w:sz w:val="20"/>
          <w:szCs w:val="20"/>
        </w:rPr>
        <w:t xml:space="preserve">extraction only</w:t>
      </w:r>
    </w:p>
    <w:p>
      <w:pPr>
        <w:pBdr>
          <w:left w:val="single" w:color="2F5496" w:sz="12" w:space="8"/>
        </w:pBdr>
        <w:spacing w:after="120" w:before="120"/>
        <w:ind w:left="360"/>
      </w:pPr>
      <w:r>
        <w:rPr>
          <w:i/>
          <w:iCs/>
          <w:color w:val="44546A"/>
          <w:sz w:val="22"/>
          <w:szCs w:val="22"/>
        </w:rPr>
        <w:t xml:space="preserve">What are endpoints of this study? Do they have clear statistical hypotheses clearly stated? What estimand(s) are included?</w:t>
      </w:r>
    </w:p>
    <w:p>
      <w:pPr>
        <w:pStyle w:val="Heading3"/>
        <w:spacing w:after="100" w:before="240"/>
      </w:pPr>
      <w:r>
        <w:t xml:space="preserve">Rubric — output.json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primary endpoint is change from baseline in HbA1c at Week 40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36-mg/12-mg/3-mg dose is tested versus placebo on the primary endpoint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primary dose-versus-placebo comparison tests superiority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treatment-regimen estimand is the primary estimand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treatment-regimen estimand uses a treatment-policy strategy for treatment adherence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efficacy estimand is supportive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efficacy estimand uses a hypothetical strategy for permanent discontinuation of study intervention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efficacy estimand uses a hypothetical strategy for initiation of additional antihyperglycemic medication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HbA1c &lt;7.0% at Week 40 is a key secondary binary endpoint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HbA1c &lt;=6.5% at Week 40 is a key secondary binary endpoint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from baseline in fasting serum glucose at Week 40 is a secondary continuous endpoint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Percentage change from baseline in body weight at Week 40 is a secondary continuous endpoint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Absolute change from baseline in body weight at Week 40 is a secondary continuous endpoint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Percentage change from baseline in non-HDL cholesterol at Week 40 is a secondary continuous endpoint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Percentage change from baseline in triglycerides at Week 40 is a secondary continuous endpoint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1"/>
        <w:spacing w:after="160" w:before="360"/>
      </w:pPr>
      <w:r>
        <w:t xml:space="preserve">P-002 · Multiplicity control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 type: </w:t>
      </w:r>
      <w:r>
        <w:rPr>
          <w:sz w:val="20"/>
          <w:szCs w:val="20"/>
        </w:rPr>
        <w:t xml:space="preserve">extraction only</w:t>
      </w:r>
    </w:p>
    <w:p>
      <w:pPr>
        <w:pBdr>
          <w:left w:val="single" w:color="2F5496" w:sz="12" w:space="8"/>
        </w:pBdr>
        <w:spacing w:after="120" w:before="120"/>
        <w:ind w:left="360"/>
      </w:pPr>
      <w:r>
        <w:rPr>
          <w:i/>
          <w:iCs/>
          <w:color w:val="44546A"/>
          <w:sz w:val="22"/>
          <w:szCs w:val="22"/>
        </w:rPr>
        <w:t xml:space="preserve">How is multiplicity controlled in this study?</w:t>
      </w:r>
    </w:p>
    <w:p>
      <w:pPr>
        <w:pStyle w:val="Heading3"/>
        <w:spacing w:after="100" w:before="240"/>
      </w:pPr>
      <w:r>
        <w:t xml:space="preserve">Rubric — output.json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overall family-wise Type I error rate is 0.0500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overall family-wise Type I error rate is two-sided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multiplicity procedure is a Bretz graphical multiple-testing procedure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alpha for the 36-mg primary hypothesis is 0.0250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alpha for the 12-mg primary hypothesis is 0.0240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alpha for the 3-mg primary hypothesis is 0.0010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multiplicity procedure covers the primary objectives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multiplicity procedure covers the key secondary objectives included in Figure GZGT 2.1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supportive efficacy-estimand analysis of the same objectives receives no separate multiplicity adjustment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sample-size calculation uses alpha = 0.0167 for each primary comparison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1"/>
        <w:spacing w:after="160" w:before="360"/>
      </w:pPr>
      <w:r>
        <w:t xml:space="preserve">P-003 · Sample size and power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 type: </w:t>
      </w:r>
      <w:r>
        <w:rPr>
          <w:sz w:val="20"/>
          <w:szCs w:val="20"/>
        </w:rPr>
        <w:t xml:space="preserve">extraction only</w:t>
      </w:r>
    </w:p>
    <w:p>
      <w:pPr>
        <w:pBdr>
          <w:left w:val="single" w:color="2F5496" w:sz="12" w:space="8"/>
        </w:pBdr>
        <w:spacing w:after="120" w:before="120"/>
        <w:ind w:left="360"/>
      </w:pPr>
      <w:r>
        <w:rPr>
          <w:i/>
          <w:iCs/>
          <w:color w:val="44546A"/>
          <w:sz w:val="22"/>
          <w:szCs w:val="22"/>
        </w:rPr>
        <w:t xml:space="preserve">What assumptions are used for the sample-size and power calculation?</w:t>
      </w:r>
    </w:p>
    <w:p>
      <w:pPr>
        <w:pStyle w:val="Heading3"/>
        <w:spacing w:after="100" w:before="240"/>
      </w:pPr>
      <w:r>
        <w:t xml:space="preserve">Rubric — output.json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sample-size calculation includes three active doses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endpoint used for sizing is mean change from baseline in HbA1c</w:t>
            </w:r>
          </w:p>
        </w:tc>
        <w:tc>
          <w:tcPr>
            <w:tcW w:type="dxa" w:w="1400"/>
            <w:shd w:fill="FC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planning alpha for each comparison is 0.0167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assumed treatment difference is 0.6 percentage points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assumed common SD is 1.2 percentage points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standardized effect size is 0.5000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power is stated as greater than 90%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visible dropout or attrition inflation is specified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1"/>
        <w:spacing w:after="160" w:before="360"/>
      </w:pPr>
      <w:r>
        <w:t xml:space="preserve">P-004 · Sample size and power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 type: </w:t>
      </w:r>
      <w:r>
        <w:rPr>
          <w:sz w:val="20"/>
          <w:szCs w:val="20"/>
        </w:rPr>
        <w:t xml:space="preserve">derivation required</w:t>
      </w:r>
    </w:p>
    <w:p>
      <w:pPr>
        <w:pBdr>
          <w:left w:val="single" w:color="2F5496" w:sz="12" w:space="8"/>
        </w:pBdr>
        <w:spacing w:after="120" w:before="120"/>
        <w:ind w:left="360"/>
      </w:pPr>
      <w:r>
        <w:rPr>
          <w:i/>
          <w:iCs/>
          <w:color w:val="44546A"/>
          <w:sz w:val="22"/>
          <w:szCs w:val="22"/>
        </w:rPr>
        <w:t xml:space="preserve">Based on the stated inputs, what sample size is required and what power is achieved?</w:t>
      </w:r>
    </w:p>
    <w:p>
      <w:pPr>
        <w:pStyle w:val="Heading3"/>
        <w:spacing w:after="100" w:before="240"/>
      </w:pPr>
      <w:r>
        <w:t xml:space="preserve">Rubric — output.json · Inputs used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treatment difference delta = 0.6000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common SD = 1.2000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alpha = 0.0167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Treats alpha = 0.0167 as two-sided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target power = 0.9000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3"/>
        <w:spacing w:after="100" w:before="240"/>
      </w:pPr>
      <w:r>
        <w:t xml:space="preserve">Rubric — output.json · Calculated value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Raw required sample size is 109.4769 per group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Raw sample size is rounded up to 110 per group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conditional four-group total is 440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Achieved power after rounding to 110 per group is 0.9016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3"/>
        <w:spacing w:after="100" w:before="240"/>
      </w:pPr>
      <w:r>
        <w:t xml:space="preserve">Rubric — output.json · Method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a two-sided test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a two-sample t-test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four-group calculation explicitly assumes 1:1:1:1 allocation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p>
      <w:pPr>
        <w:pStyle w:val="Heading1"/>
        <w:spacing w:after="160" w:before="360"/>
      </w:pPr>
      <w:r>
        <w:t xml:space="preserve">P-005 · Interim analyses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Question type: </w:t>
      </w:r>
      <w:r>
        <w:rPr>
          <w:sz w:val="20"/>
          <w:szCs w:val="20"/>
        </w:rPr>
        <w:t xml:space="preserve">extraction only</w:t>
      </w:r>
    </w:p>
    <w:p>
      <w:pPr>
        <w:pBdr>
          <w:left w:val="single" w:color="2F5496" w:sz="12" w:space="8"/>
        </w:pBdr>
        <w:spacing w:after="120" w:before="120"/>
        <w:ind w:left="360"/>
      </w:pPr>
      <w:r>
        <w:rPr>
          <w:i/>
          <w:iCs/>
          <w:color w:val="44546A"/>
          <w:sz w:val="22"/>
          <w:szCs w:val="22"/>
        </w:rPr>
        <w:t xml:space="preserve">How many interim analyses are planned, and what is the DMC arrangement for this study?</w:t>
      </w:r>
    </w:p>
    <w:p>
      <w:pPr>
        <w:pStyle w:val="Heading3"/>
        <w:spacing w:after="100" w:before="240"/>
      </w:pPr>
      <w:r>
        <w:t xml:space="preserve">Rubric — output.json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80"/>
        <w:gridCol w:w="1400"/>
        <w:gridCol w:w="14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  <w:tc>
          <w:tcPr>
            <w:tcW w:type="dxa" w:w="1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interim analyses are planned for Study GZGT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78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 unplanned interim analysis for a reason other than a safety concern requires a protocol amendment</w:t>
            </w:r>
          </w:p>
        </w:tc>
        <w:tc>
          <w:tcPr>
            <w:tcW w:type="dxa" w:w="1400"/>
            <w:shd w:fill="E7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DMC is planned specifically for Study GZGT</w:t>
            </w:r>
          </w:p>
        </w:tc>
        <w:tc>
          <w:tcPr>
            <w:tcW w:type="dxa" w:w="1400"/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Add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2026-08-27T18:45:15.307Z</dcterms:created>
  <dcterms:modified xsi:type="dcterms:W3CDTF">2026-08-27T18:45:15.324Z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