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44"/>
        </w:rPr>
        <w:t>Regras de Negócio e Métricas</w:t>
      </w:r>
    </w:p>
    <w:p>
      <w:pPr>
        <w:jc w:val="center"/>
      </w:pPr>
      <w:r>
        <w:rPr>
          <w:color w:val="627D98"/>
        </w:rPr>
        <w:t>Projeto: Torre de Controle Logística | Versão documental: 1.0.0 | Data: 18/09/2026</w:t>
      </w:r>
    </w:p>
    <w:p/>
    <w:p>
      <w:pPr>
        <w:pStyle w:val="Heading1"/>
      </w:pPr>
      <w:r>
        <w:t>1. Princípios de cálculo</w:t>
      </w:r>
    </w:p>
    <w:p>
      <w:pPr>
        <w:pStyle w:val="ListBullet"/>
      </w:pPr>
      <w:r>
        <w:t>Contagens de pedidos devem utilizar COUNTD(order_id) quando houver risco de duplicidade.</w:t>
      </w:r>
    </w:p>
    <w:p>
      <w:pPr>
        <w:pStyle w:val="ListBullet"/>
      </w:pPr>
      <w:r>
        <w:t>A taxa de atraso considera pedidos atrasados divididos por pedidos entregues.</w:t>
      </w:r>
    </w:p>
    <w:p>
      <w:pPr>
        <w:pStyle w:val="ListBullet"/>
      </w:pPr>
      <w:r>
        <w:t>Tempo médio de entrega deve considerar somente pedidos entregues, quando aplicável.</w:t>
      </w:r>
    </w:p>
    <w:p>
      <w:pPr>
        <w:pStyle w:val="ListBullet"/>
      </w:pPr>
      <w:r>
        <w:t>Rankings devem utilizar volume mínimo para evitar distorção por amostras pequenas.</w:t>
      </w:r>
    </w:p>
    <w:p>
      <w:pPr>
        <w:pStyle w:val="Heading1"/>
      </w:pPr>
      <w:r>
        <w:t>2. Métricas Tableau</w:t>
      </w:r>
    </w:p>
    <w:p>
      <w:pPr>
        <w:pStyle w:val="Heading2"/>
      </w:pPr>
      <w:r>
        <w:t>Total de pedidos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COUNTD([order_id])</w:t>
      </w:r>
    </w:p>
    <w:p>
      <w:pPr>
        <w:pStyle w:val="Heading2"/>
      </w:pPr>
      <w:r>
        <w:t>Pedidos entregues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COUNTD(IF [is_delivered] = 1 THEN [order_id] END)</w:t>
      </w:r>
    </w:p>
    <w:p>
      <w:pPr>
        <w:pStyle w:val="Heading2"/>
      </w:pPr>
      <w:r>
        <w:t>Pedidos em aberto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COUNTD(IF [is_delivered] = 0 THEN [order_id] END)</w:t>
      </w:r>
    </w:p>
    <w:p>
      <w:pPr>
        <w:pStyle w:val="Heading2"/>
      </w:pPr>
      <w:r>
        <w:t>Pedidos atrasados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COUNTD(IF [is_late] = 1 THEN [order_id] END)</w:t>
      </w:r>
    </w:p>
    <w:p>
      <w:pPr>
        <w:pStyle w:val="Heading2"/>
      </w:pPr>
      <w:r>
        <w:t>Taxa de atraso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IF SUM([is_delivered]) = 0 THEN 0 ELSE SUM([is_late]) / SUM([is_delivered]) END</w:t>
      </w:r>
    </w:p>
    <w:p>
      <w:pPr>
        <w:pStyle w:val="Heading2"/>
      </w:pPr>
      <w:r>
        <w:t>Tempo médio de entrega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AVG(IF [is_delivered] = 1 THEN [delivery_days] END)</w:t>
      </w:r>
    </w:p>
    <w:p>
      <w:pPr>
        <w:pStyle w:val="Heading2"/>
      </w:pPr>
      <w:r>
        <w:t>Frete médio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AVG([freight_value])</w:t>
      </w:r>
    </w:p>
    <w:p>
      <w:pPr>
        <w:pStyle w:val="Heading2"/>
      </w:pPr>
      <w:r>
        <w:t>Frete em risco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IF [is_late] = 1 OR [is_delivered] = 0 THEN [freight_value] ELSE 0 END</w:t>
      </w:r>
    </w:p>
    <w:p>
      <w:pPr>
        <w:pStyle w:val="Heading2"/>
      </w:pPr>
      <w:r>
        <w:t>Classificação de vendedor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Até 10%: Controlado; acima de 10% até 20%: Atenção; acima de 20%: Crítico</w:t>
      </w:r>
    </w:p>
    <w:p>
      <w:pPr>
        <w:pStyle w:val="Heading1"/>
      </w:pPr>
      <w:r>
        <w:t>3. Regras de volume mínimo</w:t>
      </w:r>
    </w:p>
    <w:p>
      <w:r>
        <w:t>Para rankings regionais, recomenda-se exigir pelo menos 100 pedidos entregues por estado. Para vendedores, recomenda-se exigir pelo menos 30 pedidos entregues. Os limites podem ser ajustados conforme o volume real da operação.</w:t>
      </w:r>
    </w:p>
    <w:p>
      <w:pPr>
        <w:pStyle w:val="Heading1"/>
      </w:pPr>
      <w:r>
        <w:t>4. Validação</w:t>
      </w:r>
    </w:p>
    <w:p>
      <w:r>
        <w:t>Todos os indicadores deverão ser comparados com consultas SQL na fonte analytics.fct_logistics_orders antes da publicação oficial.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27D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A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