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44"/>
        </w:rPr>
        <w:t>Layout e Especificação das Abas</w:t>
      </w:r>
    </w:p>
    <w:p>
      <w:pPr>
        <w:jc w:val="center"/>
      </w:pPr>
      <w:r>
        <w:rPr>
          <w:color w:val="627D98"/>
        </w:rPr>
        <w:t>Projeto: Torre de Controle Logística | Versão documental: 1.0.0 | Data: 18/09/2026</w:t>
      </w:r>
    </w:p>
    <w:p/>
    <w:p>
      <w:pPr>
        <w:pStyle w:val="Heading1"/>
      </w:pPr>
      <w:r>
        <w:t>1. Padrão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12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Padrão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Cabeçalho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#102A43 azul-marinho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Fundo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#F5F7FA cinza claro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Texto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#102A43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Informação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#1976D2 azul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Destaque secundário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#008C95 teal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Atenção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#F2B134 amarelo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Crítico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#D64545 vermelho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Controlado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#2E8B57 verde</w:t>
            </w:r>
          </w:p>
        </w:tc>
      </w:tr>
    </w:tbl>
    <w:p>
      <w:pPr>
        <w:pStyle w:val="Heading1"/>
      </w:pPr>
      <w:r>
        <w:t>Visão Geral</w:t>
      </w:r>
    </w:p>
    <w:p>
      <w:r>
        <w:t>Cabeçalho, navegação, filtros, KPIs, evolução temporal, status dos pedidos, mapa/ranking de atrasos, frete em risco e estado com pior taxa de atraso.</w:t>
      </w:r>
    </w:p>
    <w:p>
      <w:pPr>
        <w:pStyle w:val="Heading1"/>
      </w:pPr>
      <w:r>
        <w:t>Performance Regional</w:t>
      </w:r>
    </w:p>
    <w:p>
      <w:r>
        <w:t>Filtros, mapa regional, ranking de estados, volume por estado, taxa de atraso, tempo médio, frete médio e nota média.</w:t>
      </w:r>
    </w:p>
    <w:p>
      <w:pPr>
        <w:pStyle w:val="Heading1"/>
      </w:pPr>
      <w:r>
        <w:t>Performance de Vendedores</w:t>
      </w:r>
    </w:p>
    <w:p>
      <w:r>
        <w:t>Ranking por taxa de atraso, dispersão volume versus atraso, KPI do pior vendedor, classificação de risco e detalhes em tooltip.</w:t>
      </w:r>
    </w:p>
    <w:p>
      <w:pPr>
        <w:pStyle w:val="Heading1"/>
      </w:pPr>
      <w:r>
        <w:t>2. Interações</w:t>
      </w:r>
    </w:p>
    <w:p>
      <w:pPr>
        <w:pStyle w:val="ListBullet"/>
      </w:pPr>
      <w:r>
        <w:t>Filtros por período, estado do cliente e estado do vendedor, quando disponíveis.</w:t>
      </w:r>
    </w:p>
    <w:p>
      <w:pPr>
        <w:pStyle w:val="ListBullet"/>
      </w:pPr>
      <w:r>
        <w:t>Seleção no mapa ou ranking deve filtrar as demais visualizações relacionadas.</w:t>
      </w:r>
    </w:p>
    <w:p>
      <w:pPr>
        <w:pStyle w:val="ListBullet"/>
      </w:pPr>
      <w:r>
        <w:t>Tooltips devem apresentar volume, taxa de atraso e métricas de apoio.</w:t>
      </w:r>
    </w:p>
    <w:p>
      <w:pPr>
        <w:pStyle w:val="ListBullet"/>
      </w:pPr>
      <w:r>
        <w:t>Navegação entre as três abas deve funcionar em todos os dashboards.</w:t>
      </w:r>
    </w:p>
    <w:p>
      <w:pPr>
        <w:pStyle w:val="Heading1"/>
      </w:pPr>
      <w:r>
        <w:t>3. Convenções</w:t>
      </w:r>
    </w:p>
    <w:p>
      <w:pPr>
        <w:pStyle w:val="ListBullet"/>
      </w:pPr>
      <w:r>
        <w:t>Preferir barras horizontais para rankings.</w:t>
      </w:r>
    </w:p>
    <w:p>
      <w:pPr>
        <w:pStyle w:val="ListBullet"/>
      </w:pPr>
      <w:r>
        <w:t>Usar círculos no gráfico de dispersão.</w:t>
      </w:r>
    </w:p>
    <w:p>
      <w:pPr>
        <w:pStyle w:val="ListBullet"/>
      </w:pPr>
      <w:r>
        <w:t>Manter títulos objetivos e legendas compactas.</w:t>
      </w:r>
    </w:p>
    <w:p>
      <w:pPr>
        <w:pStyle w:val="ListBullet"/>
      </w:pPr>
      <w:r>
        <w:t>Evitar excesso de cores e elementos decorativos.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27D9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2A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