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7DE7367" w:rsidR="00751D79" w:rsidRDefault="00C51E7A">
      <w:pPr>
        <w:pStyle w:val="Subtitle"/>
      </w:pPr>
      <w:r>
        <w:t xml:space="preserve">Developer </w:t>
      </w:r>
      <w:r w:rsidR="00DB5C06">
        <w:t>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C51E7A">
          <w:t>1.0.0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23AF1829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</w:t>
            </w:r>
            <w:r w:rsidR="00C51E7A">
              <w:rPr>
                <w:sz w:val="21"/>
                <w:szCs w:val="21"/>
              </w:rPr>
              <w:t>2-01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069C4369" w14:textId="77777777" w:rsidR="00341885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341885">
        <w:rPr>
          <w:noProof/>
        </w:rPr>
        <w:t>1</w:t>
      </w:r>
      <w:r w:rsidR="00341885"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 w:rsidR="00341885">
        <w:rPr>
          <w:noProof/>
        </w:rPr>
        <w:t>Introduction</w:t>
      </w:r>
      <w:r w:rsidR="00341885">
        <w:rPr>
          <w:noProof/>
        </w:rPr>
        <w:tab/>
      </w:r>
      <w:r w:rsidR="00341885">
        <w:rPr>
          <w:noProof/>
        </w:rPr>
        <w:fldChar w:fldCharType="begin"/>
      </w:r>
      <w:r w:rsidR="00341885">
        <w:rPr>
          <w:noProof/>
        </w:rPr>
        <w:instrText xml:space="preserve"> PAGEREF _Toc473109637 \h </w:instrText>
      </w:r>
      <w:r w:rsidR="00341885">
        <w:rPr>
          <w:noProof/>
        </w:rPr>
      </w:r>
      <w:r w:rsidR="00341885">
        <w:rPr>
          <w:noProof/>
        </w:rPr>
        <w:fldChar w:fldCharType="separate"/>
      </w:r>
      <w:r w:rsidR="00341885">
        <w:rPr>
          <w:noProof/>
        </w:rPr>
        <w:t>4</w:t>
      </w:r>
      <w:r w:rsidR="00341885">
        <w:rPr>
          <w:noProof/>
        </w:rPr>
        <w:fldChar w:fldCharType="end"/>
      </w:r>
    </w:p>
    <w:p w14:paraId="33D2CAD1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BB8C31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FE0C98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5E00F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18C2C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B3CF7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References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EA66C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35D24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2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91B18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2172EF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3278B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50EED7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784CC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 w:rsidRPr="00FB5497">
        <w:rPr>
          <w:rFonts w:eastAsia="Times New Roman"/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 w:rsidRPr="00FB5497">
        <w:rPr>
          <w:rFonts w:eastAsia="Times New Roman"/>
          <w:noProof/>
          <w:lang w:eastAsia="en-US"/>
        </w:rPr>
        <w:t>Software Release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DE6604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0" w:name="_Toc466012384"/>
      <w:bookmarkStart w:id="1" w:name="_Toc473109637"/>
      <w:r>
        <w:lastRenderedPageBreak/>
        <w:t>Introduction</w:t>
      </w:r>
      <w:bookmarkEnd w:id="0"/>
      <w:bookmarkEnd w:id="1"/>
    </w:p>
    <w:p w14:paraId="08608BD1" w14:textId="30923F83" w:rsidR="00AA1ECB" w:rsidRDefault="00AA1ECB" w:rsidP="003238D2">
      <w:pPr>
        <w:pStyle w:val="Heading2"/>
      </w:pPr>
      <w:bookmarkStart w:id="2" w:name="_Toc466012385"/>
      <w:bookmarkStart w:id="3" w:name="_Toc473109638"/>
      <w:r>
        <w:t>Purpose</w:t>
      </w:r>
      <w:bookmarkEnd w:id="2"/>
      <w:bookmarkEnd w:id="3"/>
    </w:p>
    <w:p w14:paraId="09CDAEE0" w14:textId="77777777" w:rsidR="005F1F59" w:rsidRDefault="00174347" w:rsidP="00DB5C06">
      <w:r>
        <w:t xml:space="preserve">The purpose </w:t>
      </w:r>
      <w:r w:rsidR="005F1F59">
        <w:t>does a few things:</w:t>
      </w:r>
    </w:p>
    <w:p w14:paraId="78701B87" w14:textId="4CDDA129" w:rsidR="00DB5C06" w:rsidRDefault="005F1F59" w:rsidP="005F1F59">
      <w:pPr>
        <w:pStyle w:val="ListParagraph"/>
        <w:numPr>
          <w:ilvl w:val="0"/>
          <w:numId w:val="36"/>
        </w:numPr>
      </w:pPr>
      <w:r>
        <w:t>Explains and in some cases justifies the various TCS software design decisions.</w:t>
      </w:r>
    </w:p>
    <w:p w14:paraId="3EC2A917" w14:textId="225A6511" w:rsidR="005F1F59" w:rsidRPr="00DB5C06" w:rsidRDefault="005F1F59" w:rsidP="005F1F59">
      <w:pPr>
        <w:pStyle w:val="ListParagraph"/>
        <w:numPr>
          <w:ilvl w:val="0"/>
          <w:numId w:val="36"/>
        </w:numPr>
      </w:pPr>
      <w:bookmarkStart w:id="4" w:name="_GoBack"/>
      <w:r>
        <w:t>Provides instructions for how to do a TCS software release.</w:t>
      </w:r>
    </w:p>
    <w:p w14:paraId="431A4022" w14:textId="77777777" w:rsidR="00705E03" w:rsidRDefault="00705E03" w:rsidP="00705E03">
      <w:pPr>
        <w:pStyle w:val="Heading2"/>
      </w:pPr>
      <w:bookmarkStart w:id="5" w:name="_Toc473109639"/>
      <w:bookmarkEnd w:id="4"/>
      <w:r>
        <w:t>Scope</w:t>
      </w:r>
      <w:bookmarkEnd w:id="5"/>
    </w:p>
    <w:p w14:paraId="4CAC1E08" w14:textId="00E411B3" w:rsidR="00FD5FCB" w:rsidRDefault="00FD5FCB" w:rsidP="00FD5FCB">
      <w:r>
        <w:t>This document does not</w:t>
      </w:r>
      <w:r w:rsidR="00FC4052">
        <w:t>:</w:t>
      </w:r>
    </w:p>
    <w:p w14:paraId="08D17773" w14:textId="185D34C8" w:rsidR="00FD5FCB" w:rsidRDefault="005F1F59" w:rsidP="00164DFF">
      <w:pPr>
        <w:pStyle w:val="ListParagraph"/>
        <w:numPr>
          <w:ilvl w:val="0"/>
          <w:numId w:val="7"/>
        </w:numPr>
      </w:pPr>
      <w:r>
        <w:t>Provide the TCS software requirements.  The reader can find these in the TCS Software Requirements Document (SRD).</w:t>
      </w:r>
    </w:p>
    <w:p w14:paraId="3DF59E48" w14:textId="3FEE1916" w:rsidR="00FD5FCB" w:rsidRDefault="005F1F59" w:rsidP="00164DFF">
      <w:pPr>
        <w:pStyle w:val="ListParagraph"/>
        <w:numPr>
          <w:ilvl w:val="0"/>
          <w:numId w:val="7"/>
        </w:numPr>
      </w:pPr>
      <w:r>
        <w:t>It is also not a user manual.  That material can be found in the document TCS User Manual.</w:t>
      </w:r>
    </w:p>
    <w:p w14:paraId="283BE31C" w14:textId="77777777" w:rsidR="00122C25" w:rsidRDefault="00122C25" w:rsidP="00122C25">
      <w:pPr>
        <w:pStyle w:val="Heading2"/>
      </w:pPr>
      <w:bookmarkStart w:id="6" w:name="_Toc473109640"/>
      <w:r>
        <w:t>Document Location</w:t>
      </w:r>
      <w:bookmarkEnd w:id="6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C321ED" w:rsidP="00872135">
      <w:hyperlink r:id="rId14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7" w:name="_Toc473109641"/>
      <w:r>
        <w:t>Document Status</w:t>
      </w:r>
      <w:bookmarkEnd w:id="7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8" w:name="_Toc466012386"/>
      <w:bookmarkStart w:id="9" w:name="_Toc473109642"/>
      <w:r>
        <w:t xml:space="preserve">Acronyms </w:t>
      </w:r>
      <w:r w:rsidR="00AA1ECB">
        <w:t>Definitions</w:t>
      </w:r>
      <w:bookmarkEnd w:id="8"/>
      <w:bookmarkEnd w:id="9"/>
    </w:p>
    <w:p w14:paraId="48E6FECC" w14:textId="53A2BAE8" w:rsidR="0061057F" w:rsidRPr="001A6738" w:rsidRDefault="00255C32" w:rsidP="00255C32">
      <w:r>
        <w:rPr>
          <w:lang w:eastAsia="en-US"/>
        </w:rPr>
        <w:t>The reader is referred to the TCS SRD.</w:t>
      </w:r>
    </w:p>
    <w:p w14:paraId="42A44484" w14:textId="4046FC6A" w:rsidR="00AA1ECB" w:rsidRDefault="00AA1ECB" w:rsidP="00AA1ECB">
      <w:pPr>
        <w:pStyle w:val="Heading2"/>
      </w:pPr>
      <w:bookmarkStart w:id="10" w:name="_Toc466012387"/>
      <w:bookmarkStart w:id="11" w:name="_Toc473109643"/>
      <w:r>
        <w:t>References</w:t>
      </w:r>
      <w:bookmarkEnd w:id="10"/>
      <w:r w:rsidR="00174347">
        <w:t xml:space="preserve"> and Related Documents</w:t>
      </w:r>
      <w:bookmarkEnd w:id="11"/>
    </w:p>
    <w:p w14:paraId="20A34EC4" w14:textId="1DD281DA" w:rsidR="00174347" w:rsidRPr="00174347" w:rsidRDefault="00174347" w:rsidP="00174347">
      <w:r>
        <w:rPr>
          <w:lang w:eastAsia="en-US"/>
        </w:rPr>
        <w:t>The reader is referred to the TCS SRD.</w:t>
      </w:r>
    </w:p>
    <w:p w14:paraId="43B187BF" w14:textId="621F55DB" w:rsidR="00E815B3" w:rsidRDefault="00E815B3" w:rsidP="00E815B3">
      <w:pPr>
        <w:pStyle w:val="Heading2"/>
      </w:pPr>
      <w:bookmarkStart w:id="12" w:name="_Toc473109644"/>
      <w:r>
        <w:t>Open Issues</w:t>
      </w:r>
      <w:bookmarkEnd w:id="12"/>
    </w:p>
    <w:p w14:paraId="1E64C4CB" w14:textId="1A59F720" w:rsidR="00174347" w:rsidRPr="00174347" w:rsidRDefault="0050071F" w:rsidP="00A44DE9">
      <w:r>
        <w:t>N</w:t>
      </w:r>
      <w:r w:rsidR="005F1F59">
        <w:t>one</w:t>
      </w:r>
    </w:p>
    <w:p w14:paraId="3D363758" w14:textId="66A952A2" w:rsidR="00351F35" w:rsidRDefault="00BD4F16" w:rsidP="00147430">
      <w:pPr>
        <w:pStyle w:val="Heading1"/>
        <w:rPr>
          <w:lang w:eastAsia="en-US"/>
        </w:rPr>
      </w:pPr>
      <w:bookmarkStart w:id="13" w:name="_Toc473109645"/>
      <w:r>
        <w:rPr>
          <w:lang w:eastAsia="en-US"/>
        </w:rPr>
        <w:lastRenderedPageBreak/>
        <w:t>TCS Environments</w:t>
      </w:r>
      <w:bookmarkEnd w:id="13"/>
    </w:p>
    <w:p w14:paraId="370F7103" w14:textId="630F47CE" w:rsidR="00B35410" w:rsidRDefault="000E613F" w:rsidP="00BD4F16">
      <w:r>
        <w:t xml:space="preserve">The TCS software supports 3 different 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on-site).  As </w:t>
      </w:r>
      <w:r w:rsidR="00C7336B">
        <w:t xml:space="preserve">will be seen, </w:t>
      </w:r>
      <w:r>
        <w:t>though, the QA and Production Environments are simultaneously active during instal</w:t>
      </w:r>
      <w:r w:rsidR="005D3447">
        <w:t xml:space="preserve">lation of new software.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14" w:name="_Toc473109646"/>
      <w:r>
        <w:t>Common Containers</w:t>
      </w:r>
      <w:bookmarkEnd w:id="14"/>
    </w:p>
    <w:p w14:paraId="78FF445B" w14:textId="6E531341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(RabbitMQ) and the database service (Postgres)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76622DF9" w:rsidR="00447E14" w:rsidRDefault="00447E14" w:rsidP="00447E14">
      <w:r>
        <w:t xml:space="preserve">Each TCS environment </w:t>
      </w:r>
      <w:r w:rsidR="00A538E6">
        <w:t xml:space="preserve">requires 2 queues, for a total of 6 different queues.  </w:t>
      </w:r>
      <w:r w:rsidR="00AD7736">
        <w:t>Therefore, the queuing service is configured to support 6 queues as follows.  All queues are independent, are isolated from each other, and are fed from different sources.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03A74371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named ‘dev’, ‘</w:t>
      </w:r>
      <w:proofErr w:type="spellStart"/>
      <w:r w:rsidR="004670AD">
        <w:t>qa</w:t>
      </w:r>
      <w:proofErr w:type="spellEnd"/>
      <w:r w:rsidR="004670AD">
        <w:t>’, and ‘prod’.</w:t>
      </w:r>
    </w:p>
    <w:p w14:paraId="43F104E5" w14:textId="3E755756" w:rsidR="005D3447" w:rsidRDefault="005D3447" w:rsidP="00147430">
      <w:pPr>
        <w:pStyle w:val="Heading2"/>
      </w:pPr>
      <w:bookmarkStart w:id="15" w:name="_Toc473109647"/>
      <w:r>
        <w:t>Development Environment</w:t>
      </w:r>
      <w:bookmarkEnd w:id="15"/>
    </w:p>
    <w:p w14:paraId="7C28BD9D" w14:textId="41FF291F" w:rsidR="00147430" w:rsidRPr="00147430" w:rsidRDefault="00147430" w:rsidP="00147430">
      <w:proofErr w:type="spellStart"/>
      <w:r>
        <w:t>ToDo</w:t>
      </w:r>
      <w:proofErr w:type="spellEnd"/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16" w:name="_Toc473109648"/>
      <w:r>
        <w:lastRenderedPageBreak/>
        <w:t>QA Environment</w:t>
      </w:r>
      <w:bookmarkEnd w:id="16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558BF45">
            <wp:extent cx="5486400" cy="3881755"/>
            <wp:effectExtent l="50800" t="0" r="50800" b="106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63DF59B6" w:rsidR="005B1222" w:rsidRDefault="00330712" w:rsidP="00330712">
      <w:pPr>
        <w:pStyle w:val="Caption"/>
      </w:pPr>
      <w:r>
        <w:t xml:space="preserve">Figure </w:t>
      </w:r>
      <w:fldSimple w:instr=" SEQ Figure \* ARABIC ">
        <w:r w:rsidR="0050160B">
          <w:rPr>
            <w:noProof/>
          </w:rPr>
          <w:t>1</w:t>
        </w:r>
      </w:fldSimple>
      <w:r>
        <w:t>: TCS QA Environment</w:t>
      </w:r>
    </w:p>
    <w:p w14:paraId="51C4E093" w14:textId="6898D8A9" w:rsidR="00330712" w:rsidRDefault="00C7336B" w:rsidP="00330712">
      <w:r>
        <w:t xml:space="preserve">Running TCS software in the </w:t>
      </w:r>
      <w:r w:rsidR="009577AE">
        <w:t>QA Environment provides assurance that software deliveries are fit for purpose.</w:t>
      </w:r>
      <w:r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2685F585" w:rsidR="009577AE" w:rsidRDefault="004810B9" w:rsidP="009577AE">
      <w:pPr>
        <w:pStyle w:val="ListParagraph"/>
        <w:numPr>
          <w:ilvl w:val="0"/>
          <w:numId w:val="32"/>
        </w:numPr>
      </w:pPr>
      <w:proofErr w:type="spellStart"/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proofErr w:type="spellEnd"/>
      <w:r w:rsidR="009577AE">
        <w:t xml:space="preserve"> orchestrates the activities of the other containers.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proofErr w:type="spellStart"/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proofErr w:type="spellEnd"/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17" w:name="_Toc473109649"/>
      <w:r>
        <w:lastRenderedPageBreak/>
        <w:t>Production Environment</w:t>
      </w:r>
      <w:bookmarkEnd w:id="17"/>
    </w:p>
    <w:p w14:paraId="38C68A50" w14:textId="50AC1DD4" w:rsidR="00FF3779" w:rsidRPr="00FF3779" w:rsidRDefault="00F565EF" w:rsidP="00FF3779">
      <w:r>
        <w:rPr>
          <w:noProof/>
          <w:lang w:eastAsia="en-US"/>
        </w:rPr>
        <w:drawing>
          <wp:inline distT="0" distB="0" distL="0" distR="0" wp14:anchorId="760136C3" wp14:editId="3E6C0A5E">
            <wp:extent cx="5486400" cy="3881755"/>
            <wp:effectExtent l="50800" t="0" r="50800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70F0591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 (one per queue);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>nto the active</w:t>
      </w:r>
      <w:r>
        <w:t xml:space="preserve"> Postgres container, pg1 or pg2.  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443E2369" w14:textId="6F3332C5" w:rsidR="00D26918" w:rsidRDefault="00D26918" w:rsidP="00CF6FF9">
      <w:r>
        <w:t xml:space="preserve">Note that the Postgres container into which the SMDR records are ingested are actually 2 such, </w:t>
      </w:r>
      <w:r w:rsidRPr="00D26918">
        <w:rPr>
          <w:rFonts w:ascii="Franklin Gothic Demi" w:hAnsi="Franklin Gothic Demi"/>
        </w:rPr>
        <w:t>pg1</w:t>
      </w:r>
      <w:r>
        <w:t xml:space="preserve"> and </w:t>
      </w:r>
      <w:r w:rsidRPr="00D26918">
        <w:rPr>
          <w:rFonts w:ascii="Franklin Gothic Demi" w:hAnsi="Franklin Gothic Demi"/>
        </w:rPr>
        <w:t>pg2</w:t>
      </w:r>
      <w:r>
        <w:t xml:space="preserve">, but only one of these are operationally active at any given time.  At any given time, this other one may not exist at all, it may exist but not </w:t>
      </w:r>
      <w:r w:rsidR="002F63FC">
        <w:t xml:space="preserve">be </w:t>
      </w:r>
      <w:r>
        <w:t xml:space="preserve">running, but it could also be running in a standby state.  </w:t>
      </w:r>
      <w:r w:rsidR="002F63FC">
        <w:t>In the latter case, typically</w:t>
      </w:r>
      <w:r>
        <w:t xml:space="preserve"> a </w:t>
      </w:r>
      <w:r w:rsidR="002F63FC">
        <w:t>database</w:t>
      </w:r>
      <w:r>
        <w:t xml:space="preserve"> restore was done to the standby Postgres container (such a restore would be useful </w:t>
      </w:r>
      <w:r w:rsidR="002F63FC">
        <w:t>when</w:t>
      </w:r>
      <w:r w:rsidR="00C71358">
        <w:t xml:space="preserve"> investigating</w:t>
      </w:r>
      <w:r>
        <w:t xml:space="preserve"> some historical database anomaly).</w:t>
      </w:r>
    </w:p>
    <w:p w14:paraId="3C9C278C" w14:textId="46BE6F16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2F63FC">
        <w:t>the following:</w:t>
      </w:r>
    </w:p>
    <w:p w14:paraId="445CCDA6" w14:textId="702A9AAD" w:rsidR="00FE0E0D" w:rsidRDefault="00FE0E0D" w:rsidP="00FE0E0D">
      <w:pPr>
        <w:pStyle w:val="ListParagraph"/>
        <w:numPr>
          <w:ilvl w:val="0"/>
          <w:numId w:val="33"/>
        </w:numPr>
      </w:pPr>
      <w:r>
        <w:t>In real-time, it receives and logs a database replication stream from the currently active Postgres container.</w:t>
      </w:r>
    </w:p>
    <w:p w14:paraId="2D7CD443" w14:textId="2D397DDD" w:rsidR="00FE0E0D" w:rsidRDefault="00FE0E0D" w:rsidP="00FE0E0D">
      <w:pPr>
        <w:pStyle w:val="ListParagraph"/>
        <w:numPr>
          <w:ilvl w:val="0"/>
          <w:numId w:val="33"/>
        </w:numPr>
      </w:pPr>
      <w:r>
        <w:t>It triggers backups of the curr</w:t>
      </w:r>
      <w:r w:rsidR="00C71358">
        <w:t>ently active Postgres container according to user-defined scheduling needs.</w:t>
      </w:r>
    </w:p>
    <w:p w14:paraId="11D84608" w14:textId="006903AF" w:rsidR="00C71358" w:rsidRDefault="00C71358" w:rsidP="00FE0E0D">
      <w:pPr>
        <w:pStyle w:val="ListParagraph"/>
        <w:numPr>
          <w:ilvl w:val="0"/>
          <w:numId w:val="33"/>
        </w:numPr>
      </w:pPr>
      <w:r>
        <w:t>It purges backups according to the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64D79BEB" w:rsidR="003238D2" w:rsidRPr="00AA1ECB" w:rsidRDefault="00341885" w:rsidP="003238D2">
      <w:pPr>
        <w:pStyle w:val="Heading1"/>
        <w:rPr>
          <w:rFonts w:eastAsia="Times New Roman"/>
          <w:lang w:eastAsia="en-US"/>
        </w:rPr>
      </w:pPr>
      <w:bookmarkStart w:id="18" w:name="_Toc473109650"/>
      <w:r>
        <w:rPr>
          <w:rFonts w:eastAsia="Times New Roman"/>
          <w:lang w:eastAsia="en-US"/>
        </w:rPr>
        <w:lastRenderedPageBreak/>
        <w:t>Software Release Workflow</w:t>
      </w:r>
      <w:bookmarkEnd w:id="18"/>
    </w:p>
    <w:p w14:paraId="3972540C" w14:textId="4FBEB03B" w:rsidR="00BC51BE" w:rsidRDefault="00BC51BE" w:rsidP="00BC51BE">
      <w:pPr>
        <w:pStyle w:val="Heading1"/>
      </w:pPr>
      <w:bookmarkStart w:id="19" w:name="_Toc473109651"/>
      <w:r>
        <w:lastRenderedPageBreak/>
        <w:t xml:space="preserve">Command Line </w:t>
      </w:r>
      <w:r w:rsidR="00CB40A8">
        <w:t>Tools</w:t>
      </w:r>
      <w:bookmarkEnd w:id="19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3864B4F1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17" w:history="1">
        <w:r w:rsidRPr="00523708">
          <w:rPr>
            <w:rStyle w:val="Hyperlink"/>
          </w:rPr>
          <w:t>psql</w:t>
        </w:r>
      </w:hyperlink>
      <w:r w:rsidR="00CB40A8">
        <w:t xml:space="preserve"> terminal to the pg1 container.  If successful, the greeting indicates whether pg1 is the </w:t>
      </w:r>
      <w:r w:rsidR="00CB40A8">
        <w:rPr>
          <w:smallCaps/>
          <w:color w:val="0070C0"/>
        </w:rPr>
        <w:t>active</w:t>
      </w:r>
      <w:r w:rsidR="00CB40A8">
        <w:t xml:space="preserve"> or </w:t>
      </w:r>
      <w:r w:rsidR="00CB40A8">
        <w:rPr>
          <w:smallCaps/>
          <w:color w:val="0070C0"/>
        </w:rPr>
        <w:t>standby</w:t>
      </w:r>
      <w:r>
        <w:t xml:space="preserve"> container.  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Pr="007A654E" w:rsidRDefault="007A654E" w:rsidP="00BC51BE">
      <w:r>
        <w:t>See the discussion for the $ psql1 command.</w:t>
      </w:r>
    </w:p>
    <w:p w14:paraId="0EC55AC9" w14:textId="77777777" w:rsidR="00EF2B07" w:rsidRPr="00EF2B07" w:rsidRDefault="00EF2B07" w:rsidP="00BC51BE"/>
    <w:p w14:paraId="3469FDF7" w14:textId="77777777" w:rsidR="00BC51BE" w:rsidRPr="00BC51BE" w:rsidRDefault="00BC51BE" w:rsidP="00BC51BE"/>
    <w:p w14:paraId="29D2DF57" w14:textId="77777777" w:rsidR="007A73F6" w:rsidRPr="007A73F6" w:rsidRDefault="007A73F6" w:rsidP="007A73F6"/>
    <w:p w14:paraId="1AFDB399" w14:textId="77777777" w:rsidR="007A73F6" w:rsidRPr="00751A3C" w:rsidRDefault="007A73F6" w:rsidP="007A73F6"/>
    <w:p w14:paraId="1CE1FAC8" w14:textId="77777777" w:rsidR="00C712A6" w:rsidRDefault="00C712A6" w:rsidP="0010513D"/>
    <w:sectPr w:rsidR="00C712A6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913FC" w14:textId="77777777" w:rsidR="00C321ED" w:rsidRDefault="00C321ED">
      <w:pPr>
        <w:spacing w:after="0"/>
      </w:pPr>
      <w:r>
        <w:separator/>
      </w:r>
    </w:p>
  </w:endnote>
  <w:endnote w:type="continuationSeparator" w:id="0">
    <w:p w14:paraId="3D508C01" w14:textId="77777777" w:rsidR="00C321ED" w:rsidRDefault="00C32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085770" w:rsidRPr="00F01724" w:rsidRDefault="00085770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341885">
      <w:rPr>
        <w:rStyle w:val="PageNumber"/>
        <w:b w:val="0"/>
        <w:smallCaps/>
        <w:noProof/>
        <w:color w:val="000000" w:themeColor="text1"/>
        <w:sz w:val="21"/>
      </w:rPr>
      <w:t>2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085770" w:rsidRPr="00E17631" w:rsidRDefault="00C51E7A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12280" w14:textId="77777777" w:rsidR="00C321ED" w:rsidRDefault="00C321ED">
      <w:pPr>
        <w:spacing w:after="0"/>
      </w:pPr>
      <w:r>
        <w:separator/>
      </w:r>
    </w:p>
  </w:footnote>
  <w:footnote w:type="continuationSeparator" w:id="0">
    <w:p w14:paraId="649FA816" w14:textId="77777777" w:rsidR="00C321ED" w:rsidRDefault="00C321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0657D693" w:rsidR="00085770" w:rsidRPr="001138F1" w:rsidRDefault="00C321ED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085770">
          <w:rPr>
            <w:smallCaps/>
            <w:color w:val="000000" w:themeColor="text1"/>
            <w:sz w:val="21"/>
            <w:szCs w:val="28"/>
          </w:rPr>
          <w:t xml:space="preserve">Telephony Capture Service </w:t>
        </w:r>
        <w:r w:rsidR="00C51E7A">
          <w:rPr>
            <w:smallCaps/>
            <w:color w:val="000000" w:themeColor="text1"/>
            <w:sz w:val="21"/>
            <w:szCs w:val="28"/>
          </w:rPr>
          <w:t>Developer</w:t>
        </w:r>
        <w:r w:rsidR="00085770">
          <w:rPr>
            <w:smallCaps/>
            <w:color w:val="000000" w:themeColor="text1"/>
            <w:sz w:val="21"/>
            <w:szCs w:val="28"/>
          </w:rPr>
          <w:t xml:space="preserve"> Manual</w:t>
        </w:r>
      </w:sdtContent>
    </w:sdt>
    <w:r w:rsidR="00085770"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 w:rsidR="005F1F59">
        <w:t>1.0.0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35FE"/>
    <w:multiLevelType w:val="hybridMultilevel"/>
    <w:tmpl w:val="FC06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2577B"/>
    <w:multiLevelType w:val="hybridMultilevel"/>
    <w:tmpl w:val="C90428A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C7C96"/>
    <w:multiLevelType w:val="hybridMultilevel"/>
    <w:tmpl w:val="6B02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4"/>
  </w:num>
  <w:num w:numId="4">
    <w:abstractNumId w:val="13"/>
  </w:num>
  <w:num w:numId="5">
    <w:abstractNumId w:val="20"/>
  </w:num>
  <w:num w:numId="6">
    <w:abstractNumId w:val="33"/>
  </w:num>
  <w:num w:numId="7">
    <w:abstractNumId w:val="18"/>
  </w:num>
  <w:num w:numId="8">
    <w:abstractNumId w:val="19"/>
  </w:num>
  <w:num w:numId="9">
    <w:abstractNumId w:val="29"/>
  </w:num>
  <w:num w:numId="10">
    <w:abstractNumId w:val="11"/>
  </w:num>
  <w:num w:numId="11">
    <w:abstractNumId w:val="14"/>
  </w:num>
  <w:num w:numId="12">
    <w:abstractNumId w:val="15"/>
  </w:num>
  <w:num w:numId="13">
    <w:abstractNumId w:val="16"/>
  </w:num>
  <w:num w:numId="14">
    <w:abstractNumId w:val="26"/>
  </w:num>
  <w:num w:numId="15">
    <w:abstractNumId w:val="5"/>
  </w:num>
  <w:num w:numId="16">
    <w:abstractNumId w:val="7"/>
  </w:num>
  <w:num w:numId="17">
    <w:abstractNumId w:val="30"/>
  </w:num>
  <w:num w:numId="18">
    <w:abstractNumId w:val="9"/>
  </w:num>
  <w:num w:numId="19">
    <w:abstractNumId w:val="24"/>
  </w:num>
  <w:num w:numId="20">
    <w:abstractNumId w:val="1"/>
  </w:num>
  <w:num w:numId="21">
    <w:abstractNumId w:val="21"/>
  </w:num>
  <w:num w:numId="22">
    <w:abstractNumId w:val="3"/>
  </w:num>
  <w:num w:numId="23">
    <w:abstractNumId w:val="28"/>
  </w:num>
  <w:num w:numId="24">
    <w:abstractNumId w:val="8"/>
  </w:num>
  <w:num w:numId="25">
    <w:abstractNumId w:val="6"/>
  </w:num>
  <w:num w:numId="26">
    <w:abstractNumId w:val="2"/>
  </w:num>
  <w:num w:numId="27">
    <w:abstractNumId w:val="17"/>
  </w:num>
  <w:num w:numId="28">
    <w:abstractNumId w:val="27"/>
  </w:num>
  <w:num w:numId="29">
    <w:abstractNumId w:val="35"/>
  </w:num>
  <w:num w:numId="30">
    <w:abstractNumId w:val="10"/>
  </w:num>
  <w:num w:numId="31">
    <w:abstractNumId w:val="32"/>
  </w:num>
  <w:num w:numId="32">
    <w:abstractNumId w:val="23"/>
  </w:num>
  <w:num w:numId="33">
    <w:abstractNumId w:val="25"/>
  </w:num>
  <w:num w:numId="34">
    <w:abstractNumId w:val="0"/>
  </w:num>
  <w:num w:numId="35">
    <w:abstractNumId w:val="4"/>
  </w:num>
  <w:num w:numId="3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9E3"/>
    <w:rsid w:val="00010A66"/>
    <w:rsid w:val="000155CF"/>
    <w:rsid w:val="000156EC"/>
    <w:rsid w:val="000171DE"/>
    <w:rsid w:val="00024E7D"/>
    <w:rsid w:val="00036B60"/>
    <w:rsid w:val="0004490B"/>
    <w:rsid w:val="00052C32"/>
    <w:rsid w:val="00052CDE"/>
    <w:rsid w:val="00055E53"/>
    <w:rsid w:val="00064B80"/>
    <w:rsid w:val="00065163"/>
    <w:rsid w:val="00071F63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3A26"/>
    <w:rsid w:val="000D65AA"/>
    <w:rsid w:val="000D6B91"/>
    <w:rsid w:val="000E0D57"/>
    <w:rsid w:val="000E613F"/>
    <w:rsid w:val="000E7CB6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40A41"/>
    <w:rsid w:val="00141600"/>
    <w:rsid w:val="00144969"/>
    <w:rsid w:val="00146452"/>
    <w:rsid w:val="00147430"/>
    <w:rsid w:val="001475E5"/>
    <w:rsid w:val="0015108D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77CE"/>
    <w:rsid w:val="001A0EAE"/>
    <w:rsid w:val="001A36D3"/>
    <w:rsid w:val="001A3D99"/>
    <w:rsid w:val="001A481F"/>
    <w:rsid w:val="001A6738"/>
    <w:rsid w:val="001B3139"/>
    <w:rsid w:val="001B6F38"/>
    <w:rsid w:val="001D4489"/>
    <w:rsid w:val="001D76C6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DC2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312F"/>
    <w:rsid w:val="00293469"/>
    <w:rsid w:val="00296ED2"/>
    <w:rsid w:val="002A0F19"/>
    <w:rsid w:val="002A1304"/>
    <w:rsid w:val="002A3EDE"/>
    <w:rsid w:val="002A5913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1885"/>
    <w:rsid w:val="00346C3C"/>
    <w:rsid w:val="003478CD"/>
    <w:rsid w:val="00350B11"/>
    <w:rsid w:val="00351DC6"/>
    <w:rsid w:val="00351F35"/>
    <w:rsid w:val="0035512B"/>
    <w:rsid w:val="003569B4"/>
    <w:rsid w:val="00367843"/>
    <w:rsid w:val="00371607"/>
    <w:rsid w:val="003729A1"/>
    <w:rsid w:val="00374AC8"/>
    <w:rsid w:val="003935A4"/>
    <w:rsid w:val="00393677"/>
    <w:rsid w:val="003A5384"/>
    <w:rsid w:val="003B0EEB"/>
    <w:rsid w:val="003B6D35"/>
    <w:rsid w:val="003B79BD"/>
    <w:rsid w:val="003C0502"/>
    <w:rsid w:val="003C0754"/>
    <w:rsid w:val="003C08D9"/>
    <w:rsid w:val="003C27B6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34EC"/>
    <w:rsid w:val="004B0252"/>
    <w:rsid w:val="004B0E9C"/>
    <w:rsid w:val="004B30E1"/>
    <w:rsid w:val="004B4205"/>
    <w:rsid w:val="004C0A6E"/>
    <w:rsid w:val="004C21BB"/>
    <w:rsid w:val="004C2F77"/>
    <w:rsid w:val="004C7AD2"/>
    <w:rsid w:val="004D0E43"/>
    <w:rsid w:val="004D7300"/>
    <w:rsid w:val="004E6722"/>
    <w:rsid w:val="004F4BB9"/>
    <w:rsid w:val="0050071F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1F59"/>
    <w:rsid w:val="005F2534"/>
    <w:rsid w:val="005F2BBD"/>
    <w:rsid w:val="005F2C0C"/>
    <w:rsid w:val="005F3299"/>
    <w:rsid w:val="005F39E9"/>
    <w:rsid w:val="00603F48"/>
    <w:rsid w:val="0061057F"/>
    <w:rsid w:val="00632133"/>
    <w:rsid w:val="00635B3D"/>
    <w:rsid w:val="00637A02"/>
    <w:rsid w:val="00643A43"/>
    <w:rsid w:val="00644AB4"/>
    <w:rsid w:val="0064524E"/>
    <w:rsid w:val="0065143B"/>
    <w:rsid w:val="00655869"/>
    <w:rsid w:val="006573B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F0205"/>
    <w:rsid w:val="006F0BFD"/>
    <w:rsid w:val="006F1A23"/>
    <w:rsid w:val="006F23E7"/>
    <w:rsid w:val="006F2983"/>
    <w:rsid w:val="006F3DDB"/>
    <w:rsid w:val="007022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750FF"/>
    <w:rsid w:val="007859D3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12EA"/>
    <w:rsid w:val="007F2B00"/>
    <w:rsid w:val="007F455D"/>
    <w:rsid w:val="00805807"/>
    <w:rsid w:val="008127D7"/>
    <w:rsid w:val="00812808"/>
    <w:rsid w:val="00814195"/>
    <w:rsid w:val="00815C28"/>
    <w:rsid w:val="00816A13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C40"/>
    <w:rsid w:val="008D075D"/>
    <w:rsid w:val="008D1F4B"/>
    <w:rsid w:val="008D3FEB"/>
    <w:rsid w:val="008D68DC"/>
    <w:rsid w:val="008E1615"/>
    <w:rsid w:val="008F42BD"/>
    <w:rsid w:val="008F6985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4030A"/>
    <w:rsid w:val="009415C8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5ED2"/>
    <w:rsid w:val="00995049"/>
    <w:rsid w:val="009965BF"/>
    <w:rsid w:val="009A6134"/>
    <w:rsid w:val="009B3116"/>
    <w:rsid w:val="009B65C0"/>
    <w:rsid w:val="009B6779"/>
    <w:rsid w:val="009B6963"/>
    <w:rsid w:val="009C4B92"/>
    <w:rsid w:val="009D10F0"/>
    <w:rsid w:val="009D2C26"/>
    <w:rsid w:val="009D4411"/>
    <w:rsid w:val="009D5813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5430"/>
    <w:rsid w:val="00A10FB1"/>
    <w:rsid w:val="00A11A6F"/>
    <w:rsid w:val="00A21672"/>
    <w:rsid w:val="00A23B5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6DA3"/>
    <w:rsid w:val="00A472B7"/>
    <w:rsid w:val="00A50650"/>
    <w:rsid w:val="00A518A2"/>
    <w:rsid w:val="00A51DA9"/>
    <w:rsid w:val="00A538E6"/>
    <w:rsid w:val="00A550C3"/>
    <w:rsid w:val="00A61678"/>
    <w:rsid w:val="00A6397E"/>
    <w:rsid w:val="00A639E5"/>
    <w:rsid w:val="00A63E4B"/>
    <w:rsid w:val="00A67502"/>
    <w:rsid w:val="00A67ACD"/>
    <w:rsid w:val="00A76675"/>
    <w:rsid w:val="00A772EB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3AE2"/>
    <w:rsid w:val="00AD7736"/>
    <w:rsid w:val="00AE2033"/>
    <w:rsid w:val="00AE3605"/>
    <w:rsid w:val="00AE3F1A"/>
    <w:rsid w:val="00AF388F"/>
    <w:rsid w:val="00AF4BD6"/>
    <w:rsid w:val="00B016D9"/>
    <w:rsid w:val="00B038ED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4E89"/>
    <w:rsid w:val="00B77918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116ED"/>
    <w:rsid w:val="00C11B75"/>
    <w:rsid w:val="00C141C1"/>
    <w:rsid w:val="00C163F8"/>
    <w:rsid w:val="00C26BD6"/>
    <w:rsid w:val="00C321ED"/>
    <w:rsid w:val="00C33894"/>
    <w:rsid w:val="00C3610A"/>
    <w:rsid w:val="00C42466"/>
    <w:rsid w:val="00C42BB6"/>
    <w:rsid w:val="00C51E7A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389D"/>
    <w:rsid w:val="00C941BB"/>
    <w:rsid w:val="00CA104A"/>
    <w:rsid w:val="00CA11D9"/>
    <w:rsid w:val="00CA1566"/>
    <w:rsid w:val="00CA195D"/>
    <w:rsid w:val="00CA6B82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7A4D"/>
    <w:rsid w:val="00D40B73"/>
    <w:rsid w:val="00D42EDE"/>
    <w:rsid w:val="00D45BBF"/>
    <w:rsid w:val="00D47BF3"/>
    <w:rsid w:val="00D559F1"/>
    <w:rsid w:val="00D6739D"/>
    <w:rsid w:val="00D75A15"/>
    <w:rsid w:val="00D77813"/>
    <w:rsid w:val="00D86958"/>
    <w:rsid w:val="00D90522"/>
    <w:rsid w:val="00D91383"/>
    <w:rsid w:val="00D948B3"/>
    <w:rsid w:val="00D9599E"/>
    <w:rsid w:val="00D95F48"/>
    <w:rsid w:val="00DA5B78"/>
    <w:rsid w:val="00DB281E"/>
    <w:rsid w:val="00DB5C06"/>
    <w:rsid w:val="00DC1A1C"/>
    <w:rsid w:val="00DC2D86"/>
    <w:rsid w:val="00DD367A"/>
    <w:rsid w:val="00DE0D33"/>
    <w:rsid w:val="00DE2904"/>
    <w:rsid w:val="00DE425C"/>
    <w:rsid w:val="00DE44FF"/>
    <w:rsid w:val="00DE69BB"/>
    <w:rsid w:val="00DE6EA9"/>
    <w:rsid w:val="00DF7FDB"/>
    <w:rsid w:val="00E03485"/>
    <w:rsid w:val="00E041F7"/>
    <w:rsid w:val="00E0603C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61555"/>
    <w:rsid w:val="00E62F53"/>
    <w:rsid w:val="00E66BEB"/>
    <w:rsid w:val="00E66D69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5679"/>
    <w:rsid w:val="00ED24E9"/>
    <w:rsid w:val="00ED2A9B"/>
    <w:rsid w:val="00EE2C79"/>
    <w:rsid w:val="00EE452B"/>
    <w:rsid w:val="00EE6670"/>
    <w:rsid w:val="00EE781F"/>
    <w:rsid w:val="00EF2B07"/>
    <w:rsid w:val="00EF39FF"/>
    <w:rsid w:val="00F01724"/>
    <w:rsid w:val="00F01D09"/>
    <w:rsid w:val="00F054C8"/>
    <w:rsid w:val="00F1034B"/>
    <w:rsid w:val="00F11248"/>
    <w:rsid w:val="00F11569"/>
    <w:rsid w:val="00F159A4"/>
    <w:rsid w:val="00F15ADD"/>
    <w:rsid w:val="00F21221"/>
    <w:rsid w:val="00F25A98"/>
    <w:rsid w:val="00F266C0"/>
    <w:rsid w:val="00F3220F"/>
    <w:rsid w:val="00F335B8"/>
    <w:rsid w:val="00F36CB2"/>
    <w:rsid w:val="00F42871"/>
    <w:rsid w:val="00F42A9E"/>
    <w:rsid w:val="00F46870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C25A8"/>
    <w:rsid w:val="00FC3E82"/>
    <w:rsid w:val="00FC4052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779"/>
    <w:rsid w:val="00FF4233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A51DA9"/>
    <w:pPr>
      <w:spacing w:before="240"/>
    </w:pPr>
    <w:rPr>
      <w:b/>
      <w:bCs/>
      <w: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https://github.com/ccbcadmin/telephony-capture-service.git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postgresguide.com/utilities/psql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57D242B-38E6-A047-A09A-29E280B4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1842</TotalTime>
  <Pages>9</Pages>
  <Words>1063</Words>
  <Characters>5689</Characters>
  <Application>Microsoft Macintosh Word</Application>
  <DocSecurity>0</DocSecurity>
  <Lines>167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6634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Developer Manual</dc:title>
  <dc:subject/>
  <dc:creator>Rod Monk</dc:creator>
  <cp:keywords/>
  <dc:description/>
  <cp:lastModifiedBy>Rod Monk</cp:lastModifiedBy>
  <cp:revision>158</cp:revision>
  <dcterms:created xsi:type="dcterms:W3CDTF">2016-10-24T19:12:00Z</dcterms:created>
  <dcterms:modified xsi:type="dcterms:W3CDTF">2017-01-25T20:12:00Z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