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09EE3BC" w:rsidR="00751D79" w:rsidRDefault="00DB5C06">
      <w:pPr>
        <w:pStyle w:val="Subtitle"/>
      </w:pPr>
      <w:r>
        <w:t>User 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B87325">
          <w:t>1.0.3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4D7451B3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-01-0</w:t>
            </w:r>
            <w:r w:rsidR="00AC5655">
              <w:rPr>
                <w:sz w:val="21"/>
                <w:szCs w:val="21"/>
              </w:rPr>
              <w:t>3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  <w:tr w:rsidR="00A46DA3" w14:paraId="51C8623F" w14:textId="32A39CCB" w:rsidTr="00A46DA3">
        <w:tc>
          <w:tcPr>
            <w:tcW w:w="1134" w:type="dxa"/>
          </w:tcPr>
          <w:p w14:paraId="6EC6752B" w14:textId="5CDCF971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1.0.1</w:t>
            </w:r>
          </w:p>
        </w:tc>
        <w:tc>
          <w:tcPr>
            <w:tcW w:w="993" w:type="dxa"/>
          </w:tcPr>
          <w:p w14:paraId="4E89F66C" w14:textId="245A3B1F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0FB48355" w14:textId="02435AD4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</w:t>
            </w:r>
            <w:r w:rsidR="005B0802">
              <w:rPr>
                <w:sz w:val="21"/>
                <w:szCs w:val="21"/>
              </w:rPr>
              <w:t>25</w:t>
            </w:r>
          </w:p>
        </w:tc>
        <w:tc>
          <w:tcPr>
            <w:tcW w:w="5103" w:type="dxa"/>
          </w:tcPr>
          <w:p w14:paraId="77B53C33" w14:textId="77777777" w:rsid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Review Modifications</w:t>
            </w:r>
          </w:p>
          <w:p w14:paraId="49C2F5EE" w14:textId="1441F5F7" w:rsidR="00144969" w:rsidRPr="00A46DA3" w:rsidRDefault="00144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 Diagram</w:t>
            </w:r>
          </w:p>
        </w:tc>
      </w:tr>
      <w:tr w:rsidR="008C59E8" w14:paraId="3C732B43" w14:textId="77777777" w:rsidTr="00A46DA3">
        <w:tc>
          <w:tcPr>
            <w:tcW w:w="1134" w:type="dxa"/>
          </w:tcPr>
          <w:p w14:paraId="7BDC4327" w14:textId="294F6E0D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1.0.2</w:t>
            </w:r>
          </w:p>
        </w:tc>
        <w:tc>
          <w:tcPr>
            <w:tcW w:w="993" w:type="dxa"/>
          </w:tcPr>
          <w:p w14:paraId="4C091A51" w14:textId="673DB1DA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144365AD" w14:textId="1EBA4E2A" w:rsidR="008C59E8" w:rsidRDefault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2017-01-27</w:t>
            </w:r>
          </w:p>
        </w:tc>
        <w:tc>
          <w:tcPr>
            <w:tcW w:w="5103" w:type="dxa"/>
          </w:tcPr>
          <w:p w14:paraId="78A065ED" w14:textId="6AF93430" w:rsidR="008C59E8" w:rsidRDefault="009D1423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a new section: Environment Variables.</w:t>
            </w:r>
          </w:p>
        </w:tc>
      </w:tr>
      <w:tr w:rsidR="00B87325" w14:paraId="75DA1091" w14:textId="77777777" w:rsidTr="00A46DA3">
        <w:tc>
          <w:tcPr>
            <w:tcW w:w="1134" w:type="dxa"/>
          </w:tcPr>
          <w:p w14:paraId="370C2264" w14:textId="49BA7CA4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1.0.3</w:t>
            </w:r>
          </w:p>
        </w:tc>
        <w:tc>
          <w:tcPr>
            <w:tcW w:w="993" w:type="dxa"/>
          </w:tcPr>
          <w:p w14:paraId="679028D2" w14:textId="124C840F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207AFFF8" w14:textId="1C72FD2E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2017-01-28</w:t>
            </w:r>
          </w:p>
        </w:tc>
        <w:tc>
          <w:tcPr>
            <w:tcW w:w="5103" w:type="dxa"/>
          </w:tcPr>
          <w:p w14:paraId="29BA945A" w14:textId="7D89EE44" w:rsidR="00B87325" w:rsidRDefault="00B87325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pg1 permanently listens on 5432, pg2 on 5433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5F52E978" w14:textId="77777777" w:rsidR="00981252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981252">
        <w:rPr>
          <w:noProof/>
        </w:rPr>
        <w:t>1</w:t>
      </w:r>
      <w:r w:rsidR="00981252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981252">
        <w:rPr>
          <w:noProof/>
        </w:rPr>
        <w:t>Introduction</w:t>
      </w:r>
      <w:r w:rsidR="00981252">
        <w:rPr>
          <w:noProof/>
        </w:rPr>
        <w:tab/>
      </w:r>
      <w:r w:rsidR="00981252">
        <w:rPr>
          <w:noProof/>
        </w:rPr>
        <w:fldChar w:fldCharType="begin"/>
      </w:r>
      <w:r w:rsidR="00981252">
        <w:rPr>
          <w:noProof/>
        </w:rPr>
        <w:instrText xml:space="preserve"> PAGEREF _Toc473363582 \h </w:instrText>
      </w:r>
      <w:r w:rsidR="00981252">
        <w:rPr>
          <w:noProof/>
        </w:rPr>
      </w:r>
      <w:r w:rsidR="00981252">
        <w:rPr>
          <w:noProof/>
        </w:rPr>
        <w:fldChar w:fldCharType="separate"/>
      </w:r>
      <w:r w:rsidR="00981252">
        <w:rPr>
          <w:noProof/>
        </w:rPr>
        <w:t>4</w:t>
      </w:r>
      <w:r w:rsidR="00981252">
        <w:rPr>
          <w:noProof/>
        </w:rPr>
        <w:fldChar w:fldCharType="end"/>
      </w:r>
    </w:p>
    <w:p w14:paraId="0AD3836E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5B679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643E8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37F02C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5C079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5986D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A58FD2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8B5FCE" w14:textId="77777777" w:rsidR="00981252" w:rsidRDefault="0098125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E7269E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C171DB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Preparing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39E56E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Software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38501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B23B3F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TCS Version 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7CF74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0435B2">
        <w:rPr>
          <w:rFonts w:cs="Arial"/>
          <w:noProof/>
        </w:rPr>
        <w:t>2.2.4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tcsproj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FE80BC" w14:textId="77777777" w:rsidR="00981252" w:rsidRDefault="0098125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9DA634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FE070A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0BE8F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7B4912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AEF833" w14:textId="77777777" w:rsidR="00981252" w:rsidRDefault="0098125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 w:rsidRPr="000435B2">
        <w:rPr>
          <w:rFonts w:eastAsia="Times New Roman"/>
          <w:noProof/>
          <w:lang w:eastAsia="en-US"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0435B2">
        <w:rPr>
          <w:rFonts w:eastAsia="Times New Roman"/>
          <w:noProof/>
          <w:lang w:eastAsia="en-US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74B35D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Launching The TCS For The First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11D3C5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Mainstream TCS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F6165D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TMS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C4D9E8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0435B2">
        <w:rPr>
          <w:rFonts w:eastAsia="Times New Roman"/>
          <w:noProof/>
        </w:rPr>
        <w:t>4.1.3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 w:rsidRPr="000435B2">
        <w:rPr>
          <w:rFonts w:eastAsia="Times New Roman"/>
          <w:noProof/>
        </w:rPr>
        <w:t>PBX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E8773D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3356D2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969346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Kitematic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9CCE3B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RabbitMQ Management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A07331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Docker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6FFCC3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Changing TCS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409623" w14:textId="77777777" w:rsidR="00981252" w:rsidRDefault="0098125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Postgres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CC99A0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Rollback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2E71F4" w14:textId="77777777" w:rsidR="00981252" w:rsidRDefault="00981252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Standby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DD68DF4" w14:textId="77777777" w:rsidR="00981252" w:rsidRDefault="0098125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10D48F" w14:textId="77777777" w:rsidR="00981252" w:rsidRDefault="0098125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_Toc473363617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0" w:name="_Toc466012384"/>
      <w:bookmarkStart w:id="1" w:name="_Toc473363582"/>
      <w:r>
        <w:lastRenderedPageBreak/>
        <w:t>Introduction</w:t>
      </w:r>
      <w:bookmarkEnd w:id="0"/>
      <w:bookmarkEnd w:id="1"/>
    </w:p>
    <w:p w14:paraId="08608BD1" w14:textId="30923F83" w:rsidR="00AA1ECB" w:rsidRDefault="00AA1ECB" w:rsidP="003238D2">
      <w:pPr>
        <w:pStyle w:val="Heading2"/>
      </w:pPr>
      <w:bookmarkStart w:id="2" w:name="_Toc466012385"/>
      <w:bookmarkStart w:id="3" w:name="_Toc473363583"/>
      <w:r>
        <w:t>Purpose</w:t>
      </w:r>
      <w:bookmarkEnd w:id="2"/>
      <w:bookmarkEnd w:id="3"/>
    </w:p>
    <w:p w14:paraId="78701B87" w14:textId="5EE29C4F" w:rsidR="00DB5C06" w:rsidRPr="00DB5C06" w:rsidRDefault="00174347" w:rsidP="00DB5C06">
      <w:r>
        <w:t>The purpose of this document is to provide instructions for how to carry out the various TCS use cases.</w:t>
      </w:r>
    </w:p>
    <w:p w14:paraId="431A4022" w14:textId="77777777" w:rsidR="00705E03" w:rsidRDefault="00705E03" w:rsidP="00705E03">
      <w:pPr>
        <w:pStyle w:val="Heading2"/>
      </w:pPr>
      <w:bookmarkStart w:id="4" w:name="_Toc473363584"/>
      <w:r>
        <w:t>Scope</w:t>
      </w:r>
      <w:bookmarkEnd w:id="4"/>
    </w:p>
    <w:p w14:paraId="3FEA6286" w14:textId="5C3DC873" w:rsidR="00FD5FCB" w:rsidRDefault="00FD5FCB" w:rsidP="00FD5FCB">
      <w:r>
        <w:t xml:space="preserve">This manual details how to start, stop, upgrade, and monitor the performance of the TCS.  And because the TCS has the further responsibility to install and otherwise exploit a new </w:t>
      </w:r>
      <w:r w:rsidR="00963797">
        <w:t xml:space="preserve">server </w:t>
      </w:r>
      <w:r>
        <w:t>database, it also includes instructions for how to restore the database from a backup set.</w:t>
      </w:r>
    </w:p>
    <w:p w14:paraId="4CAC1E08" w14:textId="3A9E5817" w:rsidR="00FD5FCB" w:rsidRDefault="00FD5FCB" w:rsidP="00FD5FCB">
      <w:r>
        <w:t>This document does not</w:t>
      </w:r>
      <w:r w:rsidR="00963797">
        <w:t xml:space="preserve"> </w:t>
      </w:r>
      <w:r>
        <w:t>include</w:t>
      </w:r>
      <w:r w:rsidR="00FC4052">
        <w:t>:</w:t>
      </w:r>
    </w:p>
    <w:p w14:paraId="08D17773" w14:textId="577E6E4E" w:rsidR="00FD5FCB" w:rsidRDefault="00FC4052" w:rsidP="00164DFF">
      <w:pPr>
        <w:pStyle w:val="ListParagraph"/>
        <w:numPr>
          <w:ilvl w:val="0"/>
          <w:numId w:val="7"/>
        </w:numPr>
      </w:pPr>
      <w:r>
        <w:t xml:space="preserve">Instructions to carry out the </w:t>
      </w:r>
      <w:r w:rsidR="00FD5FCB">
        <w:t>various admin management functions associated with running a Linux installation.</w:t>
      </w:r>
    </w:p>
    <w:p w14:paraId="3DF59E48" w14:textId="39630153" w:rsidR="00FD5FCB" w:rsidRDefault="00FD5FCB" w:rsidP="00164DFF">
      <w:pPr>
        <w:pStyle w:val="ListParagraph"/>
        <w:numPr>
          <w:ilvl w:val="0"/>
          <w:numId w:val="7"/>
        </w:numPr>
      </w:pPr>
      <w:r>
        <w:t>In</w:t>
      </w:r>
      <w:r w:rsidR="006B4CD9">
        <w:t xml:space="preserve">structions for installing </w:t>
      </w:r>
      <w:r w:rsidR="002E6500">
        <w:t xml:space="preserve">git, </w:t>
      </w:r>
      <w:r w:rsidR="006B4CD9">
        <w:t>docker, docker-compose, Kitematic.</w:t>
      </w:r>
    </w:p>
    <w:p w14:paraId="65F073B1" w14:textId="0FAF7A6E" w:rsidR="006B4CD9" w:rsidRDefault="006B4CD9" w:rsidP="00164DFF">
      <w:pPr>
        <w:pStyle w:val="ListParagraph"/>
        <w:numPr>
          <w:ilvl w:val="0"/>
          <w:numId w:val="7"/>
        </w:numPr>
      </w:pPr>
      <w:r>
        <w:t>Instructions for how to modify the TCS database</w:t>
      </w:r>
      <w:r w:rsidR="002B3D3C">
        <w:t xml:space="preserve"> version</w:t>
      </w:r>
      <w:r>
        <w:t>, the queuing service</w:t>
      </w:r>
      <w:r w:rsidR="00AC3513">
        <w:t xml:space="preserve"> version</w:t>
      </w:r>
      <w:r>
        <w:t>, nor the custom TCS software</w:t>
      </w:r>
      <w:r w:rsidR="00122C25">
        <w:t xml:space="preserve"> itself</w:t>
      </w:r>
      <w:r>
        <w:t xml:space="preserve">.  There is a separate manual for such </w:t>
      </w:r>
      <w:r w:rsidR="00AC3513">
        <w:t>material</w:t>
      </w:r>
      <w:r>
        <w:t xml:space="preserve">, namely the </w:t>
      </w:r>
      <w:hyperlink r:id="rId14" w:history="1">
        <w:r w:rsidRPr="00DF25DC">
          <w:rPr>
            <w:rStyle w:val="Hyperlink"/>
          </w:rPr>
          <w:t>TCS Development Manual</w:t>
        </w:r>
      </w:hyperlink>
      <w:r>
        <w:t>.</w:t>
      </w:r>
    </w:p>
    <w:p w14:paraId="283BE31C" w14:textId="77777777" w:rsidR="00122C25" w:rsidRDefault="00122C25" w:rsidP="00122C25">
      <w:pPr>
        <w:pStyle w:val="Heading2"/>
      </w:pPr>
      <w:bookmarkStart w:id="5" w:name="_Toc473363585"/>
      <w:r>
        <w:t>Document Location</w:t>
      </w:r>
      <w:bookmarkEnd w:id="5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FF6BC5" w:rsidP="00872135">
      <w:hyperlink r:id="rId15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6" w:name="_Toc473363586"/>
      <w:r>
        <w:t>Document Status</w:t>
      </w:r>
      <w:bookmarkEnd w:id="6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7" w:name="_Toc466012386"/>
      <w:bookmarkStart w:id="8" w:name="_Toc473363587"/>
      <w:r>
        <w:t xml:space="preserve">Acronyms </w:t>
      </w:r>
      <w:r w:rsidR="00AA1ECB">
        <w:t>Definitions</w:t>
      </w:r>
      <w:bookmarkEnd w:id="7"/>
      <w:bookmarkEnd w:id="8"/>
    </w:p>
    <w:p w14:paraId="6269B5CA" w14:textId="77777777" w:rsidR="006D5947" w:rsidRPr="00D3503D" w:rsidRDefault="00255C32" w:rsidP="006D5947">
      <w:pPr>
        <w:rPr>
          <w:rStyle w:val="Hyperlink"/>
        </w:rPr>
      </w:pPr>
      <w:r>
        <w:rPr>
          <w:lang w:eastAsia="en-US"/>
        </w:rPr>
        <w:t>The re</w:t>
      </w:r>
      <w:r w:rsidR="006D5947">
        <w:rPr>
          <w:lang w:eastAsia="en-US"/>
        </w:rPr>
        <w:t xml:space="preserve">ader is referred to the </w:t>
      </w:r>
      <w:r w:rsidR="006D5947">
        <w:fldChar w:fldCharType="begin"/>
      </w:r>
      <w:r w:rsidR="006D5947">
        <w:instrText xml:space="preserve"> HYPERLINK "TCS Software Requirements Document.docx" </w:instrText>
      </w:r>
      <w:r w:rsidR="006D5947">
        <w:fldChar w:fldCharType="separate"/>
      </w:r>
      <w:r w:rsidR="006D5947" w:rsidRPr="00D3503D">
        <w:rPr>
          <w:rStyle w:val="Hyperlink"/>
        </w:rPr>
        <w:t>TCS Software Requirements Document</w:t>
      </w:r>
    </w:p>
    <w:p w14:paraId="42A44484" w14:textId="2D970388" w:rsidR="00AA1ECB" w:rsidRDefault="006D5947" w:rsidP="006D5947">
      <w:pPr>
        <w:pStyle w:val="Heading2"/>
      </w:pPr>
      <w:r>
        <w:fldChar w:fldCharType="end"/>
      </w:r>
      <w:bookmarkStart w:id="9" w:name="_Toc466012387"/>
      <w:bookmarkStart w:id="10" w:name="_Toc473363588"/>
      <w:r w:rsidR="00AA1ECB">
        <w:t>Reference</w:t>
      </w:r>
      <w:bookmarkEnd w:id="9"/>
      <w:r w:rsidR="00174347">
        <w:t xml:space="preserve"> and Related Documents</w:t>
      </w:r>
      <w:bookmarkEnd w:id="10"/>
    </w:p>
    <w:p w14:paraId="631B7B7E" w14:textId="2EEFA9BC" w:rsidR="00D3503D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0A34EC4" w14:textId="033E2231" w:rsidR="00174347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43B187BF" w14:textId="4D5AE02F" w:rsidR="00E815B3" w:rsidRDefault="00D3503D" w:rsidP="00E815B3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1" w:name="_Toc473363589"/>
      <w:r w:rsidR="00E815B3">
        <w:t>Open Issues</w:t>
      </w:r>
      <w:bookmarkEnd w:id="11"/>
    </w:p>
    <w:p w14:paraId="30DEBB33" w14:textId="02F46570" w:rsidR="00E66BEB" w:rsidRDefault="00E66BEB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Add </w:t>
      </w:r>
      <w:proofErr w:type="spellStart"/>
      <w:r>
        <w:rPr>
          <w:lang w:eastAsia="en-US"/>
        </w:rPr>
        <w:t>datastores</w:t>
      </w:r>
      <w:proofErr w:type="spellEnd"/>
      <w:r>
        <w:rPr>
          <w:lang w:eastAsia="en-US"/>
        </w:rPr>
        <w:t xml:space="preserve"> for rabbitmq, pg1 / pg2, barman, and </w:t>
      </w:r>
      <w:r w:rsidR="00A44DE9">
        <w:rPr>
          <w:lang w:eastAsia="en-US"/>
        </w:rPr>
        <w:t>Jenkins to the various diagrams.</w:t>
      </w:r>
    </w:p>
    <w:p w14:paraId="5C32BF92" w14:textId="49E8317A" w:rsidR="009B3116" w:rsidRDefault="009B3116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The discussion on the 3 TCS operating env</w:t>
      </w:r>
      <w:r w:rsidR="007C57D0">
        <w:rPr>
          <w:lang w:eastAsia="en-US"/>
        </w:rPr>
        <w:t>ironments possibly should be moved to the TCS Developer Manual.</w:t>
      </w:r>
    </w:p>
    <w:p w14:paraId="1E64C4CB" w14:textId="454518CA" w:rsidR="00174347" w:rsidRPr="00174347" w:rsidRDefault="00174347" w:rsidP="00A44DE9"/>
    <w:p w14:paraId="331E71DD" w14:textId="7CD16A5E" w:rsidR="00AA1ECB" w:rsidRDefault="00DB5C06" w:rsidP="001977CE">
      <w:pPr>
        <w:pStyle w:val="Heading1"/>
      </w:pPr>
      <w:bookmarkStart w:id="12" w:name="_Toc473363590"/>
      <w:r>
        <w:lastRenderedPageBreak/>
        <w:t>Preliminaries</w:t>
      </w:r>
      <w:bookmarkEnd w:id="12"/>
    </w:p>
    <w:p w14:paraId="02C81A0D" w14:textId="1385F3C4" w:rsidR="00DB5C06" w:rsidRDefault="00F25A98" w:rsidP="00DB5C06">
      <w:pPr>
        <w:pStyle w:val="Heading2"/>
        <w:rPr>
          <w:lang w:eastAsia="en-US"/>
        </w:rPr>
      </w:pPr>
      <w:bookmarkStart w:id="13" w:name="_Toc466012399"/>
      <w:bookmarkStart w:id="14" w:name="_Toc473363591"/>
      <w:r>
        <w:rPr>
          <w:lang w:eastAsia="en-US"/>
        </w:rPr>
        <w:t>User C</w:t>
      </w:r>
      <w:r w:rsidR="00AA1ECB" w:rsidRPr="00AA1ECB">
        <w:rPr>
          <w:lang w:eastAsia="en-US"/>
        </w:rPr>
        <w:t>haracteristics</w:t>
      </w:r>
      <w:bookmarkEnd w:id="13"/>
      <w:bookmarkEnd w:id="14"/>
    </w:p>
    <w:p w14:paraId="021F5CE6" w14:textId="4842365D" w:rsidR="006F23E7" w:rsidRDefault="00133F4A" w:rsidP="00133F4A">
      <w:r>
        <w:t>It is assumed that the user is g</w:t>
      </w:r>
      <w:r w:rsidR="006F23E7">
        <w:t xml:space="preserve">enerally familiar with </w:t>
      </w:r>
      <w:r>
        <w:t xml:space="preserve">Linux command line </w:t>
      </w:r>
      <w:r w:rsidR="00F42A9E">
        <w:t xml:space="preserve">utilities </w:t>
      </w:r>
      <w:r w:rsidR="006F23E7">
        <w:t xml:space="preserve">and </w:t>
      </w:r>
      <w:r w:rsidR="00F42A9E">
        <w:t xml:space="preserve">is </w:t>
      </w:r>
      <w:r w:rsidR="006F23E7">
        <w:t>able to navigate the Linux directory structure.</w:t>
      </w:r>
    </w:p>
    <w:p w14:paraId="4311FE28" w14:textId="245010E3" w:rsidR="00133F4A" w:rsidRDefault="00133F4A" w:rsidP="00133F4A">
      <w:r>
        <w:t>Beyond that having some further familiarity of any or all of the following is an advantage:</w:t>
      </w:r>
    </w:p>
    <w:tbl>
      <w:tblPr>
        <w:tblStyle w:val="TableGrid"/>
        <w:tblW w:w="8507" w:type="dxa"/>
        <w:tblInd w:w="-5" w:type="dxa"/>
        <w:tblLook w:val="04A0" w:firstRow="1" w:lastRow="0" w:firstColumn="1" w:lastColumn="0" w:noHBand="0" w:noVBand="1"/>
      </w:tblPr>
      <w:tblGrid>
        <w:gridCol w:w="2721"/>
        <w:gridCol w:w="5786"/>
      </w:tblGrid>
      <w:tr w:rsidR="00635B3D" w:rsidRPr="00635B3D" w14:paraId="1D0813AD" w14:textId="5F563A05" w:rsidTr="00635B3D">
        <w:tc>
          <w:tcPr>
            <w:tcW w:w="2721" w:type="dxa"/>
          </w:tcPr>
          <w:p w14:paraId="7C171831" w14:textId="093A4C1D" w:rsidR="00635B3D" w:rsidRPr="00635B3D" w:rsidRDefault="00FF6BC5" w:rsidP="0030458A">
            <w:hyperlink r:id="rId16" w:history="1">
              <w:r w:rsidR="00FC4052">
                <w:rPr>
                  <w:rStyle w:val="Hyperlink"/>
                </w:rPr>
                <w:t>Git</w:t>
              </w:r>
            </w:hyperlink>
          </w:p>
        </w:tc>
        <w:tc>
          <w:tcPr>
            <w:tcW w:w="5786" w:type="dxa"/>
          </w:tcPr>
          <w:p w14:paraId="09FCCB0E" w14:textId="662488E3" w:rsidR="00635B3D" w:rsidRPr="00635B3D" w:rsidRDefault="004864E1" w:rsidP="0030458A">
            <w:r>
              <w:t>Used to manage TCS versions.</w:t>
            </w:r>
          </w:p>
        </w:tc>
      </w:tr>
      <w:tr w:rsidR="00635B3D" w:rsidRPr="00635B3D" w14:paraId="26331F4E" w14:textId="42068784" w:rsidTr="00635B3D">
        <w:tc>
          <w:tcPr>
            <w:tcW w:w="2721" w:type="dxa"/>
          </w:tcPr>
          <w:p w14:paraId="59E7A1B2" w14:textId="6EA7E2F2" w:rsidR="00635B3D" w:rsidRPr="00635B3D" w:rsidRDefault="00FF6BC5" w:rsidP="00635B3D">
            <w:hyperlink r:id="rId17" w:history="1">
              <w:r w:rsidR="00635B3D" w:rsidRPr="00635B3D">
                <w:rPr>
                  <w:rStyle w:val="Hyperlink"/>
                </w:rPr>
                <w:t>docker</w:t>
              </w:r>
            </w:hyperlink>
            <w:r w:rsidR="00635B3D" w:rsidRPr="00635B3D">
              <w:t xml:space="preserve">   </w:t>
            </w:r>
            <w:r w:rsidR="00635B3D" w:rsidRPr="00635B3D">
              <w:br/>
            </w:r>
          </w:p>
        </w:tc>
        <w:tc>
          <w:tcPr>
            <w:tcW w:w="5786" w:type="dxa"/>
          </w:tcPr>
          <w:p w14:paraId="0F89ABF9" w14:textId="46147E82" w:rsidR="00635B3D" w:rsidRPr="00635B3D" w:rsidRDefault="00635B3D" w:rsidP="00963797">
            <w:r>
              <w:t>d</w:t>
            </w:r>
            <w:r w:rsidRPr="00635B3D">
              <w:t xml:space="preserve">ocker </w:t>
            </w:r>
            <w:r w:rsidR="004864E1">
              <w:t xml:space="preserve">and a closely aligned product, docker-compose, are </w:t>
            </w:r>
            <w:r w:rsidRPr="00635B3D">
              <w:t>heavily exploited by the TCS</w:t>
            </w:r>
            <w:r w:rsidR="00524048">
              <w:t>.  H</w:t>
            </w:r>
            <w:r w:rsidRPr="00635B3D">
              <w:t>owever, as far as this manual is concerned, docker’s  capabilities have been largely captured in scripts, aliases, and functions.</w:t>
            </w:r>
          </w:p>
        </w:tc>
      </w:tr>
      <w:tr w:rsidR="00635B3D" w:rsidRPr="00635B3D" w14:paraId="6FC2FF98" w14:textId="2F971AD8" w:rsidTr="00635B3D">
        <w:tc>
          <w:tcPr>
            <w:tcW w:w="2721" w:type="dxa"/>
          </w:tcPr>
          <w:p w14:paraId="1244AD8F" w14:textId="4FD367AB" w:rsidR="00635B3D" w:rsidRPr="00635B3D" w:rsidRDefault="00FF6BC5" w:rsidP="0030458A">
            <w:hyperlink r:id="rId18" w:history="1">
              <w:r w:rsidR="00635B3D" w:rsidRPr="00F42A9E">
                <w:rPr>
                  <w:rStyle w:val="Hyperlink"/>
                </w:rPr>
                <w:t>Postgres</w:t>
              </w:r>
            </w:hyperlink>
          </w:p>
        </w:tc>
        <w:tc>
          <w:tcPr>
            <w:tcW w:w="5786" w:type="dxa"/>
          </w:tcPr>
          <w:p w14:paraId="52ED8A76" w14:textId="207A7747" w:rsidR="00635B3D" w:rsidRPr="00635B3D" w:rsidRDefault="004864E1" w:rsidP="00524048">
            <w:r>
              <w:t xml:space="preserve">The more that the user knows about Postgres the better, </w:t>
            </w:r>
            <w:r w:rsidR="00524048">
              <w:t>nevertheless</w:t>
            </w:r>
            <w:r>
              <w:t xml:space="preserve">, the TCS user can effectively use the TCS without </w:t>
            </w:r>
            <w:r w:rsidR="00524048">
              <w:t>Postgres</w:t>
            </w:r>
            <w:r>
              <w:t xml:space="preserve"> knowledge.</w:t>
            </w:r>
          </w:p>
        </w:tc>
      </w:tr>
      <w:tr w:rsidR="00635B3D" w:rsidRPr="00635B3D" w14:paraId="3A1B2FFD" w14:textId="7DE5C155" w:rsidTr="00635B3D">
        <w:tc>
          <w:tcPr>
            <w:tcW w:w="2721" w:type="dxa"/>
          </w:tcPr>
          <w:p w14:paraId="26D45059" w14:textId="611E33FD" w:rsidR="00635B3D" w:rsidRPr="00635B3D" w:rsidRDefault="00FF6BC5" w:rsidP="0030458A">
            <w:hyperlink r:id="rId19" w:history="1">
              <w:r w:rsidR="00635B3D" w:rsidRPr="004864E1">
                <w:rPr>
                  <w:rStyle w:val="Hyperlink"/>
                </w:rPr>
                <w:t>barman</w:t>
              </w:r>
            </w:hyperlink>
          </w:p>
        </w:tc>
        <w:tc>
          <w:tcPr>
            <w:tcW w:w="5786" w:type="dxa"/>
          </w:tcPr>
          <w:p w14:paraId="7236CC5E" w14:textId="6B66AE66" w:rsidR="00635B3D" w:rsidRPr="00635B3D" w:rsidRDefault="004864E1" w:rsidP="00963797">
            <w:r>
              <w:t xml:space="preserve">Barman is an open source product </w:t>
            </w:r>
            <w:r w:rsidR="00F42A9E">
              <w:t>designed to manage</w:t>
            </w:r>
            <w:r>
              <w:t xml:space="preserve"> Postgres backups and Postgres Write Ahead Logs.  Working knowledge of barman is useful, but not </w:t>
            </w:r>
            <w:r w:rsidR="00963797">
              <w:t>essential</w:t>
            </w:r>
            <w:r>
              <w:t>.</w:t>
            </w:r>
          </w:p>
        </w:tc>
      </w:tr>
    </w:tbl>
    <w:p w14:paraId="34334914" w14:textId="77777777" w:rsidR="004864E1" w:rsidRDefault="004864E1" w:rsidP="004864E1">
      <w:pPr>
        <w:rPr>
          <w:lang w:eastAsia="en-US"/>
        </w:rPr>
      </w:pPr>
    </w:p>
    <w:p w14:paraId="3E6F5B26" w14:textId="43EA23C8" w:rsidR="00DB5C06" w:rsidRDefault="00CF4B16" w:rsidP="00DB5C06">
      <w:pPr>
        <w:pStyle w:val="Heading2"/>
        <w:rPr>
          <w:lang w:eastAsia="en-US"/>
        </w:rPr>
      </w:pPr>
      <w:bookmarkStart w:id="15" w:name="_Toc473363592"/>
      <w:r>
        <w:rPr>
          <w:lang w:eastAsia="en-US"/>
        </w:rPr>
        <w:t xml:space="preserve">Preparing the </w:t>
      </w:r>
      <w:r w:rsidR="006F0BFD">
        <w:rPr>
          <w:lang w:eastAsia="en-US"/>
        </w:rPr>
        <w:t>Environment</w:t>
      </w:r>
      <w:bookmarkEnd w:id="15"/>
    </w:p>
    <w:p w14:paraId="086B76C4" w14:textId="56D1B823" w:rsidR="00CF4B16" w:rsidRDefault="00CF4B16" w:rsidP="00CF4B16">
      <w:pPr>
        <w:pStyle w:val="Heading3"/>
      </w:pPr>
      <w:bookmarkStart w:id="16" w:name="_Toc473363593"/>
      <w:r>
        <w:t>Software</w:t>
      </w:r>
      <w:r w:rsidR="00547CFB">
        <w:t xml:space="preserve"> Platform</w:t>
      </w:r>
      <w:bookmarkEnd w:id="16"/>
    </w:p>
    <w:p w14:paraId="36C3DBEC" w14:textId="56D19A15" w:rsidR="00CF4B16" w:rsidRDefault="00CF4B16" w:rsidP="00CF4B16">
      <w:r>
        <w:t>The assumed platform is the following:</w:t>
      </w:r>
    </w:p>
    <w:p w14:paraId="09C49D42" w14:textId="73BF2025" w:rsidR="00CF4B16" w:rsidRDefault="00CF4B16" w:rsidP="00164DFF">
      <w:pPr>
        <w:pStyle w:val="ListParagraph"/>
        <w:numPr>
          <w:ilvl w:val="0"/>
          <w:numId w:val="8"/>
        </w:numPr>
      </w:pPr>
      <w:r>
        <w:t>Ubuntu 16.04.1</w:t>
      </w:r>
    </w:p>
    <w:p w14:paraId="20BFA8E5" w14:textId="392E1801" w:rsidR="00CF4B16" w:rsidRDefault="00CF4B16" w:rsidP="00164DFF">
      <w:pPr>
        <w:pStyle w:val="ListParagraph"/>
        <w:numPr>
          <w:ilvl w:val="0"/>
          <w:numId w:val="8"/>
        </w:numPr>
      </w:pPr>
      <w:r>
        <w:t>Docker 1.</w:t>
      </w:r>
      <w:r w:rsidR="006C5BC4">
        <w:t>13.0</w:t>
      </w:r>
    </w:p>
    <w:p w14:paraId="082E0307" w14:textId="1AB48339" w:rsidR="00CF4B16" w:rsidRDefault="00CF4B16" w:rsidP="00164DFF">
      <w:pPr>
        <w:pStyle w:val="ListParagraph"/>
        <w:numPr>
          <w:ilvl w:val="0"/>
          <w:numId w:val="8"/>
        </w:numPr>
      </w:pPr>
      <w:r>
        <w:t>Docker-compose 1.9.0</w:t>
      </w:r>
    </w:p>
    <w:p w14:paraId="41E111A0" w14:textId="3820CCAD" w:rsidR="00CF4B16" w:rsidRDefault="00CF4B16" w:rsidP="00164DFF">
      <w:pPr>
        <w:pStyle w:val="ListParagraph"/>
        <w:numPr>
          <w:ilvl w:val="0"/>
          <w:numId w:val="8"/>
        </w:numPr>
      </w:pPr>
      <w:r>
        <w:t>Kitematic</w:t>
      </w:r>
      <w:r w:rsidR="00547CFB">
        <w:t xml:space="preserve"> 0.12.9 or later</w:t>
      </w:r>
    </w:p>
    <w:p w14:paraId="04AEDC88" w14:textId="2908EF51" w:rsidR="00547CFB" w:rsidRPr="00CF4B16" w:rsidRDefault="00547CFB" w:rsidP="00164DFF">
      <w:pPr>
        <w:pStyle w:val="ListParagraph"/>
        <w:numPr>
          <w:ilvl w:val="0"/>
          <w:numId w:val="8"/>
        </w:numPr>
      </w:pPr>
      <w:r>
        <w:t xml:space="preserve">Git 2.7.4 or later </w:t>
      </w:r>
    </w:p>
    <w:p w14:paraId="7A8C119C" w14:textId="5C1C23D5" w:rsidR="006F0BFD" w:rsidRPr="006F0BFD" w:rsidRDefault="006F0BFD" w:rsidP="00F92C9B">
      <w:pPr>
        <w:pStyle w:val="Heading3"/>
      </w:pPr>
      <w:bookmarkStart w:id="17" w:name="_Toc473363594"/>
      <w:r>
        <w:t>Environment Variables</w:t>
      </w:r>
      <w:bookmarkEnd w:id="17"/>
    </w:p>
    <w:p w14:paraId="77F00954" w14:textId="0FE9C563" w:rsidR="008B7761" w:rsidRPr="006F0BFD" w:rsidRDefault="008B7761" w:rsidP="006F0BFD">
      <w:pPr>
        <w:spacing w:after="0"/>
        <w:rPr>
          <w:rFonts w:cs="Arial"/>
          <w:color w:val="000000"/>
          <w:szCs w:val="22"/>
          <w:lang w:eastAsia="en-US"/>
        </w:rPr>
      </w:pPr>
      <w:r w:rsidRPr="006F0BFD">
        <w:rPr>
          <w:rFonts w:cs="Arial"/>
          <w:color w:val="000000"/>
          <w:szCs w:val="22"/>
          <w:lang w:eastAsia="en-US"/>
        </w:rPr>
        <w:t xml:space="preserve">TCS-specific environment variables </w:t>
      </w:r>
      <w:r w:rsidR="00F46870">
        <w:rPr>
          <w:rFonts w:cs="Arial"/>
          <w:color w:val="000000"/>
          <w:szCs w:val="22"/>
          <w:lang w:eastAsia="en-US"/>
        </w:rPr>
        <w:t>are defined in the following file</w:t>
      </w:r>
      <w:r w:rsidR="002E74E4" w:rsidRPr="006F0BFD">
        <w:rPr>
          <w:rFonts w:cs="Arial"/>
          <w:color w:val="000000"/>
          <w:szCs w:val="22"/>
          <w:lang w:eastAsia="en-US"/>
        </w:rPr>
        <w:t>:</w:t>
      </w:r>
    </w:p>
    <w:p w14:paraId="7C278A28" w14:textId="77777777" w:rsidR="008B7761" w:rsidRDefault="008B7761" w:rsidP="00DB5C06">
      <w:pPr>
        <w:spacing w:after="0"/>
        <w:rPr>
          <w:rFonts w:cs="Arial"/>
          <w:color w:val="000000"/>
          <w:szCs w:val="22"/>
          <w:lang w:eastAsia="en-US"/>
        </w:rPr>
      </w:pPr>
    </w:p>
    <w:p w14:paraId="748E978D" w14:textId="1710FB03" w:rsidR="008B7761" w:rsidRPr="00460855" w:rsidRDefault="008B7761" w:rsidP="008B7761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 w:rsidRPr="00460855">
        <w:rPr>
          <w:rFonts w:ascii="Andale Mono" w:hAnsi="Andale Mono" w:cs="Arial"/>
          <w:color w:val="000000"/>
          <w:sz w:val="18"/>
          <w:szCs w:val="18"/>
          <w:lang w:eastAsia="en-US"/>
        </w:rPr>
        <w:t xml:space="preserve"> </w:t>
      </w:r>
      <w:r w:rsidR="00F46870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~</w:t>
      </w:r>
      <w:r w:rsidR="00EC5679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/tcs</w:t>
      </w:r>
      <w:r w:rsidR="00F46870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/env_PROD/env</w:t>
      </w:r>
    </w:p>
    <w:p w14:paraId="13EC1B31" w14:textId="77777777" w:rsidR="008B7761" w:rsidRDefault="008B7761" w:rsidP="008B7761">
      <w:pPr>
        <w:spacing w:after="0"/>
        <w:ind w:left="720"/>
        <w:rPr>
          <w:rFonts w:cs="Arial"/>
          <w:color w:val="000000"/>
          <w:szCs w:val="22"/>
          <w:lang w:eastAsia="en-US"/>
        </w:rPr>
      </w:pPr>
    </w:p>
    <w:p w14:paraId="63DBE79D" w14:textId="54F3A4E3" w:rsidR="008B7761" w:rsidRDefault="00C7336B" w:rsidP="006F0BFD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The syntax of this file is that of defining a typical bash environment variable.  </w:t>
      </w:r>
      <w:r w:rsidR="00A550C3">
        <w:rPr>
          <w:rFonts w:cs="Arial"/>
          <w:color w:val="000000"/>
          <w:szCs w:val="22"/>
          <w:lang w:eastAsia="en-US"/>
        </w:rPr>
        <w:t>F</w:t>
      </w:r>
      <w:r w:rsidR="00460855">
        <w:rPr>
          <w:rFonts w:cs="Arial"/>
          <w:color w:val="000000"/>
          <w:szCs w:val="22"/>
          <w:lang w:eastAsia="en-US"/>
        </w:rPr>
        <w:t>or example:</w:t>
      </w:r>
    </w:p>
    <w:p w14:paraId="3CF70999" w14:textId="77777777" w:rsidR="0020788C" w:rsidRDefault="0020788C" w:rsidP="006F0BFD">
      <w:pPr>
        <w:spacing w:after="0"/>
        <w:rPr>
          <w:rFonts w:cs="Arial"/>
          <w:color w:val="000000"/>
          <w:szCs w:val="22"/>
          <w:lang w:eastAsia="en-US"/>
        </w:rPr>
      </w:pPr>
    </w:p>
    <w:p w14:paraId="3E6F2F54" w14:textId="613ED750" w:rsidR="0020788C" w:rsidRPr="00460855" w:rsidRDefault="00F42A9E" w:rsidP="0020788C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TMS_HOST=192.168.3.43</w:t>
      </w:r>
    </w:p>
    <w:p w14:paraId="722FE306" w14:textId="77777777" w:rsidR="00DB5C06" w:rsidRPr="00DB5C06" w:rsidRDefault="00DB5C06" w:rsidP="00DB5C06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0F2F03F0" w14:textId="70F723B6" w:rsidR="007B76C7" w:rsidRDefault="00CA7004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Section </w:t>
      </w:r>
      <w:r>
        <w:rPr>
          <w:rFonts w:cs="Arial"/>
          <w:color w:val="000000"/>
          <w:szCs w:val="22"/>
          <w:lang w:eastAsia="en-US"/>
        </w:rPr>
        <w:fldChar w:fldCharType="begin"/>
      </w:r>
      <w:r>
        <w:rPr>
          <w:rFonts w:cs="Arial"/>
          <w:color w:val="000000"/>
          <w:szCs w:val="22"/>
          <w:lang w:eastAsia="en-US"/>
        </w:rPr>
        <w:instrText xml:space="preserve"> REF _Ref473356673 \r \h </w:instrText>
      </w:r>
      <w:r>
        <w:rPr>
          <w:rFonts w:cs="Arial"/>
          <w:color w:val="000000"/>
          <w:szCs w:val="22"/>
          <w:lang w:eastAsia="en-US"/>
        </w:rPr>
      </w:r>
      <w:r>
        <w:rPr>
          <w:rFonts w:cs="Arial"/>
          <w:color w:val="000000"/>
          <w:szCs w:val="22"/>
          <w:lang w:eastAsia="en-US"/>
        </w:rPr>
        <w:fldChar w:fldCharType="separate"/>
      </w:r>
      <w:r>
        <w:rPr>
          <w:rFonts w:cs="Arial"/>
          <w:color w:val="000000"/>
          <w:szCs w:val="22"/>
          <w:lang w:eastAsia="en-US"/>
        </w:rPr>
        <w:t>5</w:t>
      </w:r>
      <w:r>
        <w:rPr>
          <w:rFonts w:cs="Arial"/>
          <w:color w:val="000000"/>
          <w:szCs w:val="22"/>
          <w:lang w:eastAsia="en-US"/>
        </w:rPr>
        <w:fldChar w:fldCharType="end"/>
      </w:r>
      <w:r>
        <w:rPr>
          <w:rFonts w:cs="Arial"/>
          <w:color w:val="000000"/>
          <w:szCs w:val="22"/>
          <w:lang w:eastAsia="en-US"/>
        </w:rPr>
        <w:t xml:space="preserve"> </w:t>
      </w:r>
      <w:r>
        <w:rPr>
          <w:rFonts w:cs="Arial"/>
          <w:color w:val="000000"/>
          <w:szCs w:val="22"/>
          <w:lang w:eastAsia="en-US"/>
        </w:rPr>
        <w:fldChar w:fldCharType="begin"/>
      </w:r>
      <w:r>
        <w:rPr>
          <w:rFonts w:cs="Arial"/>
          <w:color w:val="000000"/>
          <w:szCs w:val="22"/>
          <w:lang w:eastAsia="en-US"/>
        </w:rPr>
        <w:instrText xml:space="preserve"> REF _Ref473356702 \h </w:instrText>
      </w:r>
      <w:r>
        <w:rPr>
          <w:rFonts w:cs="Arial"/>
          <w:color w:val="000000"/>
          <w:szCs w:val="22"/>
          <w:lang w:eastAsia="en-US"/>
        </w:rPr>
      </w:r>
      <w:r>
        <w:rPr>
          <w:rFonts w:cs="Arial"/>
          <w:color w:val="000000"/>
          <w:szCs w:val="22"/>
          <w:lang w:eastAsia="en-US"/>
        </w:rPr>
        <w:fldChar w:fldCharType="separate"/>
      </w:r>
      <w:r w:rsidRPr="000B58FD">
        <w:t>Environment Variables</w:t>
      </w:r>
      <w:r>
        <w:rPr>
          <w:rFonts w:cs="Arial"/>
          <w:color w:val="000000"/>
          <w:szCs w:val="22"/>
          <w:lang w:eastAsia="en-US"/>
        </w:rPr>
        <w:fldChar w:fldCharType="end"/>
      </w:r>
      <w:r>
        <w:rPr>
          <w:rFonts w:cs="Arial"/>
          <w:color w:val="000000"/>
          <w:szCs w:val="22"/>
          <w:lang w:eastAsia="en-US"/>
        </w:rPr>
        <w:t xml:space="preserve"> </w:t>
      </w:r>
      <w:r w:rsidR="00E479DD">
        <w:rPr>
          <w:rFonts w:cs="Arial"/>
          <w:color w:val="000000"/>
          <w:szCs w:val="22"/>
          <w:lang w:eastAsia="en-US"/>
        </w:rPr>
        <w:t xml:space="preserve">contains </w:t>
      </w:r>
      <w:r w:rsidR="002E74E4">
        <w:rPr>
          <w:rFonts w:cs="Arial"/>
          <w:color w:val="000000"/>
          <w:szCs w:val="22"/>
          <w:lang w:eastAsia="en-US"/>
        </w:rPr>
        <w:t xml:space="preserve">detailed descriptions of the various </w:t>
      </w:r>
      <w:r w:rsidR="00DB5C06" w:rsidRPr="00DB5C06">
        <w:rPr>
          <w:rFonts w:cs="Arial"/>
          <w:color w:val="000000"/>
          <w:szCs w:val="22"/>
          <w:lang w:eastAsia="en-US"/>
        </w:rPr>
        <w:t>variables</w:t>
      </w:r>
      <w:r w:rsidR="00E479DD">
        <w:rPr>
          <w:rFonts w:cs="Arial"/>
          <w:color w:val="000000"/>
          <w:szCs w:val="22"/>
          <w:lang w:eastAsia="en-US"/>
        </w:rPr>
        <w:t xml:space="preserve">.  Failure to set </w:t>
      </w:r>
      <w:r w:rsidR="002E74E4">
        <w:rPr>
          <w:rFonts w:cs="Arial"/>
          <w:color w:val="000000"/>
          <w:szCs w:val="22"/>
          <w:lang w:eastAsia="en-US"/>
        </w:rPr>
        <w:t>all the environment</w:t>
      </w:r>
      <w:r w:rsidR="00E479DD">
        <w:rPr>
          <w:rFonts w:cs="Arial"/>
          <w:color w:val="000000"/>
          <w:szCs w:val="22"/>
          <w:lang w:eastAsia="en-US"/>
        </w:rPr>
        <w:t xml:space="preserve"> variables to appropriate values will certainly result in the loss of one or more TCS </w:t>
      </w:r>
      <w:r w:rsidR="008D075D">
        <w:rPr>
          <w:rFonts w:cs="Arial"/>
          <w:color w:val="000000"/>
          <w:szCs w:val="22"/>
          <w:lang w:eastAsia="en-US"/>
        </w:rPr>
        <w:t>capabilities</w:t>
      </w:r>
      <w:r w:rsidR="00E479DD">
        <w:rPr>
          <w:rFonts w:cs="Arial"/>
          <w:color w:val="000000"/>
          <w:szCs w:val="22"/>
          <w:lang w:eastAsia="en-US"/>
        </w:rPr>
        <w:t>.</w:t>
      </w:r>
    </w:p>
    <w:p w14:paraId="19B6B9E0" w14:textId="73A61A3F" w:rsidR="007B76C7" w:rsidRDefault="007B76C7" w:rsidP="007B76C7">
      <w:pPr>
        <w:pStyle w:val="Heading3"/>
        <w:rPr>
          <w:lang w:eastAsia="en-US"/>
        </w:rPr>
      </w:pPr>
      <w:bookmarkStart w:id="18" w:name="_Toc473363595"/>
      <w:r>
        <w:rPr>
          <w:lang w:eastAsia="en-US"/>
        </w:rPr>
        <w:lastRenderedPageBreak/>
        <w:t>TCS Version Number</w:t>
      </w:r>
      <w:r w:rsidR="006947D9">
        <w:rPr>
          <w:lang w:eastAsia="en-US"/>
        </w:rPr>
        <w:t>s</w:t>
      </w:r>
      <w:bookmarkEnd w:id="18"/>
    </w:p>
    <w:p w14:paraId="5BC5133E" w14:textId="4BFB5822" w:rsidR="00CD1B48" w:rsidRDefault="007B76C7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TCS Version numbers are of the </w:t>
      </w:r>
      <w:r w:rsidR="00182615">
        <w:rPr>
          <w:rFonts w:cs="Arial"/>
          <w:color w:val="000000"/>
          <w:szCs w:val="22"/>
          <w:lang w:eastAsia="en-US"/>
        </w:rPr>
        <w:t xml:space="preserve">form: </w:t>
      </w:r>
      <w:proofErr w:type="gramStart"/>
      <w:r w:rsidR="00182615">
        <w:rPr>
          <w:rFonts w:cs="Arial"/>
          <w:color w:val="000000"/>
          <w:szCs w:val="22"/>
          <w:lang w:eastAsia="en-US"/>
        </w:rPr>
        <w:t>vX.Y</w:t>
      </w:r>
      <w:proofErr w:type="gramEnd"/>
      <w:r>
        <w:rPr>
          <w:rFonts w:cs="Arial"/>
          <w:color w:val="000000"/>
          <w:szCs w:val="22"/>
          <w:lang w:eastAsia="en-US"/>
        </w:rPr>
        <w:t xml:space="preserve">, where v is a literal ‘v’ and </w:t>
      </w:r>
      <w:r w:rsidR="00182615">
        <w:rPr>
          <w:rFonts w:cs="Arial"/>
          <w:color w:val="000000"/>
          <w:szCs w:val="22"/>
          <w:lang w:eastAsia="en-US"/>
        </w:rPr>
        <w:t>both X and Y</w:t>
      </w:r>
      <w:r w:rsidR="00563BA8">
        <w:rPr>
          <w:rFonts w:cs="Arial"/>
          <w:color w:val="000000"/>
          <w:szCs w:val="22"/>
          <w:lang w:eastAsia="en-US"/>
        </w:rPr>
        <w:t xml:space="preserve"> are non-negative integers (</w:t>
      </w:r>
      <w:r w:rsidR="00FC4052">
        <w:rPr>
          <w:rFonts w:cs="Arial"/>
          <w:color w:val="000000"/>
          <w:szCs w:val="22"/>
          <w:lang w:eastAsia="en-US"/>
        </w:rPr>
        <w:t>e.g.</w:t>
      </w:r>
      <w:r w:rsidR="00563BA8">
        <w:rPr>
          <w:rFonts w:cs="Arial"/>
          <w:color w:val="000000"/>
          <w:szCs w:val="22"/>
          <w:lang w:eastAsia="en-US"/>
        </w:rPr>
        <w:t xml:space="preserve"> “v3.2” meaning version 3.2).</w:t>
      </w:r>
    </w:p>
    <w:p w14:paraId="7D6DC1E7" w14:textId="6BCAA411" w:rsidR="00637A02" w:rsidRPr="00637A02" w:rsidRDefault="00637A02" w:rsidP="00F92C9B">
      <w:pPr>
        <w:pStyle w:val="Heading3"/>
        <w:rPr>
          <w:rFonts w:ascii="Arial" w:hAnsi="Arial" w:cs="Arial"/>
        </w:rPr>
      </w:pPr>
      <w:bookmarkStart w:id="19" w:name="_Toc473363596"/>
      <w:r w:rsidRPr="00637A02">
        <w:t>t</w:t>
      </w:r>
      <w:r w:rsidR="00CD1B48" w:rsidRPr="00637A02">
        <w:t>csproj</w:t>
      </w:r>
      <w:bookmarkEnd w:id="19"/>
    </w:p>
    <w:p w14:paraId="2C83D7EF" w14:textId="0470F0CA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TCS activity is launched from the folder </w:t>
      </w:r>
      <w:r w:rsidR="005B4185">
        <w:rPr>
          <w:rFonts w:ascii="Arial" w:hAnsi="Arial" w:cs="Arial"/>
          <w:color w:val="000000"/>
          <w:sz w:val="22"/>
          <w:szCs w:val="22"/>
        </w:rPr>
        <w:t>~/tcs</w:t>
      </w:r>
      <w:r>
        <w:rPr>
          <w:rFonts w:ascii="Arial" w:hAnsi="Arial" w:cs="Arial"/>
          <w:color w:val="000000"/>
          <w:sz w:val="22"/>
          <w:szCs w:val="22"/>
        </w:rPr>
        <w:t>.  Once there</w:t>
      </w:r>
      <w:r w:rsidR="00FC4052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 following command must be executed:</w:t>
      </w:r>
    </w:p>
    <w:p w14:paraId="67155F04" w14:textId="77777777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A72C2" w14:textId="524F09CA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$ source 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scripts/project</w:t>
      </w:r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[</w:t>
      </w:r>
      <w:proofErr w:type="spellStart"/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tcs_v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ersion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]</w:t>
      </w:r>
    </w:p>
    <w:p w14:paraId="7FC41A02" w14:textId="77777777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3E873F" w14:textId="1EA1060E" w:rsidR="00DC2D86" w:rsidRDefault="003F1E83" w:rsidP="00F9550C">
      <w:pPr>
        <w:rPr>
          <w:lang w:eastAsia="en-US"/>
        </w:rPr>
      </w:pPr>
      <w:r>
        <w:rPr>
          <w:lang w:eastAsia="en-US"/>
        </w:rPr>
        <w:t xml:space="preserve">Where </w:t>
      </w:r>
      <w:proofErr w:type="spellStart"/>
      <w:r>
        <w:rPr>
          <w:lang w:eastAsia="en-US"/>
        </w:rPr>
        <w:t>tcs_v</w:t>
      </w:r>
      <w:r w:rsidR="00DC2D86">
        <w:rPr>
          <w:lang w:eastAsia="en-US"/>
        </w:rPr>
        <w:t>ersion</w:t>
      </w:r>
      <w:proofErr w:type="spellEnd"/>
      <w:r w:rsidR="00DC2D86">
        <w:rPr>
          <w:lang w:eastAsia="en-US"/>
        </w:rPr>
        <w:t xml:space="preserve"> </w:t>
      </w:r>
      <w:r w:rsidR="005B4185">
        <w:rPr>
          <w:lang w:eastAsia="en-US"/>
        </w:rPr>
        <w:t>is optionally provided</w:t>
      </w:r>
      <w:r>
        <w:rPr>
          <w:lang w:eastAsia="en-US"/>
        </w:rPr>
        <w:t>; i</w:t>
      </w:r>
      <w:r w:rsidR="005B4185">
        <w:rPr>
          <w:lang w:eastAsia="en-US"/>
        </w:rPr>
        <w:t>f omitted, TCS Version remains unmodified.</w:t>
      </w:r>
    </w:p>
    <w:p w14:paraId="70BD628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510E12A" w14:textId="4A880E16" w:rsidR="00DC2D86" w:rsidRDefault="00DC2D86" w:rsidP="005E273E">
      <w:pPr>
        <w:rPr>
          <w:lang w:eastAsia="en-US"/>
        </w:rPr>
      </w:pPr>
      <w:r>
        <w:rPr>
          <w:lang w:eastAsia="en-US"/>
        </w:rPr>
        <w:t xml:space="preserve">In order to expedite this process, it is recommended to define the following function in </w:t>
      </w:r>
      <w:proofErr w:type="gramStart"/>
      <w:r>
        <w:rPr>
          <w:lang w:eastAsia="en-US"/>
        </w:rPr>
        <w:t>the .</w:t>
      </w:r>
      <w:proofErr w:type="spellStart"/>
      <w:r>
        <w:rPr>
          <w:lang w:eastAsia="en-US"/>
        </w:rPr>
        <w:t>bashrc</w:t>
      </w:r>
      <w:proofErr w:type="spellEnd"/>
      <w:proofErr w:type="gramEnd"/>
      <w:r>
        <w:rPr>
          <w:lang w:eastAsia="en-US"/>
        </w:rPr>
        <w:t xml:space="preserve"> file:</w:t>
      </w:r>
    </w:p>
    <w:p w14:paraId="639AD9A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EEC9DB" w14:textId="68BF52AF" w:rsidR="00DC2D86" w:rsidRDefault="005F39E9" w:rsidP="003F1E83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tcsproj ()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{ cd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~/tcs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source scripts/project</w:t>
      </w:r>
      <w:r w:rsidR="00DC2D8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}</w:t>
      </w:r>
    </w:p>
    <w:p w14:paraId="40C4181A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DDD68E6" w14:textId="050E3FBE" w:rsidR="00DC2D86" w:rsidRDefault="005B4185" w:rsidP="005E273E">
      <w:pPr>
        <w:rPr>
          <w:lang w:eastAsia="en-US"/>
        </w:rPr>
      </w:pPr>
      <w:r>
        <w:rPr>
          <w:lang w:eastAsia="en-US"/>
        </w:rPr>
        <w:t>Thereafter, the user can conveniently prepare for TCS commanding with the following:</w:t>
      </w:r>
    </w:p>
    <w:p w14:paraId="24D7C787" w14:textId="77777777" w:rsidR="005B4185" w:rsidRDefault="005B4185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0EB00A42" w14:textId="0B5B9AE9" w:rsidR="005B4185" w:rsidRDefault="005B4185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$ tcsproj [TCS Version]</w:t>
      </w:r>
    </w:p>
    <w:p w14:paraId="467F27C4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17256E63" w14:textId="120879D3" w:rsidR="00BD4F16" w:rsidRDefault="00BD4F16">
      <w:pPr>
        <w:spacing w:after="200" w:line="312" w:lineRule="auto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br w:type="page"/>
      </w:r>
    </w:p>
    <w:p w14:paraId="3D363758" w14:textId="7F0C5E72" w:rsidR="00351F35" w:rsidRDefault="00BD4F16" w:rsidP="00147430">
      <w:pPr>
        <w:pStyle w:val="Heading1"/>
        <w:rPr>
          <w:lang w:eastAsia="en-US"/>
        </w:rPr>
      </w:pPr>
      <w:bookmarkStart w:id="20" w:name="_Toc473363597"/>
      <w:r>
        <w:rPr>
          <w:lang w:eastAsia="en-US"/>
        </w:rPr>
        <w:lastRenderedPageBreak/>
        <w:t xml:space="preserve">TCS </w:t>
      </w:r>
      <w:r w:rsidR="000F0EA2">
        <w:rPr>
          <w:lang w:eastAsia="en-US"/>
        </w:rPr>
        <w:t xml:space="preserve">Operating </w:t>
      </w:r>
      <w:r>
        <w:rPr>
          <w:lang w:eastAsia="en-US"/>
        </w:rPr>
        <w:t>Environments</w:t>
      </w:r>
      <w:bookmarkEnd w:id="20"/>
    </w:p>
    <w:p w14:paraId="370F7103" w14:textId="1A3D0524" w:rsidR="00B35410" w:rsidRDefault="000E613F" w:rsidP="00BD4F16">
      <w:r>
        <w:t xml:space="preserve">The TCS software supports 3 different </w:t>
      </w:r>
      <w:r w:rsidR="00622383">
        <w:t xml:space="preserve">operating </w:t>
      </w:r>
      <w:r>
        <w:t>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</w:t>
      </w:r>
      <w:r w:rsidR="00622383">
        <w:t xml:space="preserve">ite).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21" w:name="_Toc473363598"/>
      <w:r>
        <w:t>Common Containers</w:t>
      </w:r>
      <w:bookmarkEnd w:id="21"/>
    </w:p>
    <w:p w14:paraId="78FF445B" w14:textId="60D55C52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</w:t>
      </w:r>
      <w:r w:rsidR="00622383">
        <w:t xml:space="preserve">container, rabbitmq, and </w:t>
      </w:r>
      <w:r>
        <w:t xml:space="preserve">the database </w:t>
      </w:r>
      <w:r w:rsidR="00622383">
        <w:t>container, pg1,</w:t>
      </w:r>
      <w:r>
        <w:t xml:space="preserve">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0884BFE8" w:rsidR="00447E14" w:rsidRDefault="00447E14" w:rsidP="00447E14">
      <w:r>
        <w:t xml:space="preserve">Each TCS </w:t>
      </w:r>
      <w:r w:rsidR="00622383">
        <w:t xml:space="preserve">operating </w:t>
      </w:r>
      <w:r>
        <w:t xml:space="preserve">environment </w:t>
      </w:r>
      <w:r w:rsidR="00A538E6">
        <w:t>requires 2 queues</w:t>
      </w:r>
      <w:r w:rsidR="00AF78E9">
        <w:t xml:space="preserve"> (one for SMDR message flow to the database and the other for the flow of data destined for the TMS)</w:t>
      </w:r>
      <w:r w:rsidR="00A538E6">
        <w:t>, for a total of 6</w:t>
      </w:r>
      <w:r w:rsidR="00622383">
        <w:t>.</w:t>
      </w:r>
      <w:r w:rsidR="00AF78E9">
        <w:t xml:space="preserve">  </w:t>
      </w:r>
      <w:r w:rsidR="00622383">
        <w:t xml:space="preserve">All queues are independent and </w:t>
      </w:r>
      <w:r w:rsidR="00AD7736">
        <w:t>isolated from each other</w:t>
      </w:r>
      <w:r w:rsidR="00622383">
        <w:t>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5421FE98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22" w:name="_Toc473363599"/>
      <w:r>
        <w:t>Development Environment</w:t>
      </w:r>
      <w:bookmarkEnd w:id="22"/>
    </w:p>
    <w:p w14:paraId="7C28BD9D" w14:textId="583FB2DF" w:rsidR="00147430" w:rsidRPr="00147430" w:rsidRDefault="006D5947" w:rsidP="00147430">
      <w:r>
        <w:t>The Development Environment is discussed in the TCS Developer Manual.</w:t>
      </w:r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23" w:name="_Toc473363600"/>
      <w:r>
        <w:lastRenderedPageBreak/>
        <w:t>QA Environment</w:t>
      </w:r>
      <w:bookmarkEnd w:id="23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558BF45">
            <wp:extent cx="5486400" cy="3881755"/>
            <wp:effectExtent l="50800" t="0" r="50800" b="106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63DF59B6" w:rsidR="005B1222" w:rsidRDefault="00330712" w:rsidP="00330712">
      <w:pPr>
        <w:pStyle w:val="Caption"/>
      </w:pPr>
      <w:r>
        <w:t xml:space="preserve">Figure </w:t>
      </w:r>
      <w:fldSimple w:instr=" SEQ Figure \* ARABIC ">
        <w:r w:rsidR="00D960E1">
          <w:rPr>
            <w:noProof/>
          </w:rPr>
          <w:t>1</w:t>
        </w:r>
      </w:fldSimple>
      <w:r>
        <w:t>: TCS QA Environment</w:t>
      </w:r>
    </w:p>
    <w:p w14:paraId="51C4E093" w14:textId="4909FE24" w:rsidR="00330712" w:rsidRDefault="006D39C0" w:rsidP="00330712">
      <w:r>
        <w:t xml:space="preserve">A successful run of the </w:t>
      </w:r>
      <w:r w:rsidR="00C7336B">
        <w:t xml:space="preserve">TCS software in the </w:t>
      </w:r>
      <w:r w:rsidR="009577AE">
        <w:t xml:space="preserve">QA Environment </w:t>
      </w:r>
      <w:r w:rsidR="000D4914">
        <w:t xml:space="preserve">assures </w:t>
      </w:r>
      <w:r w:rsidR="009577AE">
        <w:t xml:space="preserve">that </w:t>
      </w:r>
      <w:r w:rsidR="000D4914">
        <w:t xml:space="preserve">TCS </w:t>
      </w:r>
      <w:r w:rsidR="009577AE">
        <w:t xml:space="preserve">software </w:t>
      </w:r>
      <w:r w:rsidR="000D4914">
        <w:t xml:space="preserve">is </w:t>
      </w:r>
      <w:r w:rsidR="009577AE">
        <w:t>fit for purpose.</w:t>
      </w:r>
      <w:r w:rsidR="00C7336B"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 w:rsidR="00C7336B"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77FF3E98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</w:t>
      </w:r>
      <w:r w:rsidR="000D4914">
        <w:t>ivities of the other containers (</w:t>
      </w:r>
      <w:r w:rsidR="000D4914">
        <w:rPr>
          <w:rFonts w:ascii="Franklin Gothic Demi" w:hAnsi="Franklin Gothic Demi"/>
        </w:rPr>
        <w:t>j</w:t>
      </w:r>
      <w:r w:rsidR="000D4914" w:rsidRPr="004810B9">
        <w:rPr>
          <w:rFonts w:ascii="Franklin Gothic Demi" w:hAnsi="Franklin Gothic Demi"/>
        </w:rPr>
        <w:t>enkins</w:t>
      </w:r>
      <w:r w:rsidR="000D4914">
        <w:t xml:space="preserve"> can </w:t>
      </w:r>
      <w:r w:rsidR="00A01D83">
        <w:t xml:space="preserve">start, </w:t>
      </w:r>
      <w:r w:rsidR="000D4914">
        <w:t>shutdown</w:t>
      </w:r>
      <w:r w:rsidR="00A01D83">
        <w:t>, pause,</w:t>
      </w:r>
      <w:r w:rsidR="000D4914">
        <w:t xml:space="preserve"> </w:t>
      </w:r>
      <w:r w:rsidR="00A01D83">
        <w:t xml:space="preserve">and restart </w:t>
      </w:r>
      <w:r w:rsidR="000D4914">
        <w:t>containers</w:t>
      </w:r>
      <w:r w:rsidR="00A01D83">
        <w:t>).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24" w:name="_Toc473363601"/>
      <w:r>
        <w:lastRenderedPageBreak/>
        <w:t>Production Environment</w:t>
      </w:r>
      <w:bookmarkEnd w:id="24"/>
    </w:p>
    <w:p w14:paraId="38C68A50" w14:textId="50AC1DD4" w:rsidR="00FF3779" w:rsidRPr="00FF3779" w:rsidRDefault="00F565EF" w:rsidP="00FF3779">
      <w:r>
        <w:rPr>
          <w:noProof/>
          <w:lang w:eastAsia="en-US"/>
        </w:rPr>
        <w:drawing>
          <wp:inline distT="0" distB="0" distL="0" distR="0" wp14:anchorId="760136C3" wp14:editId="3E6C0A5E">
            <wp:extent cx="5486400" cy="3881755"/>
            <wp:effectExtent l="50800" t="0" r="50800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5A56B8E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</w:t>
      </w:r>
      <w:r w:rsidR="00010747">
        <w:rPr>
          <w:lang w:eastAsia="en-US"/>
        </w:rPr>
        <w:t>;</w:t>
      </w:r>
      <w:r>
        <w:rPr>
          <w:lang w:eastAsia="en-US"/>
        </w:rPr>
        <w:t xml:space="preserve">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 xml:space="preserve">nto the </w:t>
      </w:r>
      <w:r>
        <w:t xml:space="preserve">Postgres </w:t>
      </w:r>
      <w:r w:rsidR="00B87325">
        <w:rPr>
          <w:rFonts w:ascii="Franklin Gothic Demi" w:hAnsi="Franklin Gothic Demi"/>
          <w:lang w:eastAsia="en-US"/>
        </w:rPr>
        <w:t>pg1</w:t>
      </w:r>
      <w:r w:rsidR="00B87325">
        <w:t xml:space="preserve">.  </w:t>
      </w:r>
      <w:r>
        <w:t xml:space="preserve">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3C9C278C" w14:textId="7096D713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0D150D">
        <w:t>the following services:</w:t>
      </w:r>
    </w:p>
    <w:p w14:paraId="445CCDA6" w14:textId="23440C34" w:rsidR="00FE0E0D" w:rsidRPr="009C6A55" w:rsidRDefault="00FE0E0D" w:rsidP="009C6A55">
      <w:pPr>
        <w:pStyle w:val="ListParagraph"/>
        <w:numPr>
          <w:ilvl w:val="0"/>
          <w:numId w:val="33"/>
        </w:numPr>
        <w:rPr>
          <w:rFonts w:cs="Arial"/>
        </w:rPr>
      </w:pPr>
      <w:r>
        <w:t xml:space="preserve">In real-time, it receives and logs a database replication stream from </w:t>
      </w:r>
      <w:r w:rsidR="00B87325" w:rsidRPr="009C6A55">
        <w:rPr>
          <w:rFonts w:ascii="Franklin Gothic Demi" w:hAnsi="Franklin Gothic Demi"/>
          <w:lang w:eastAsia="en-US"/>
        </w:rPr>
        <w:t>pg1</w:t>
      </w:r>
      <w:r w:rsidR="009C6A55" w:rsidRPr="009C6A55">
        <w:rPr>
          <w:rFonts w:cs="Arial"/>
          <w:lang w:eastAsia="en-US"/>
        </w:rPr>
        <w:t>.</w:t>
      </w:r>
    </w:p>
    <w:p w14:paraId="2D7CD443" w14:textId="3AAF72C7" w:rsidR="00FE0E0D" w:rsidRDefault="00FE0E0D" w:rsidP="00FE0E0D">
      <w:pPr>
        <w:pStyle w:val="ListParagraph"/>
        <w:numPr>
          <w:ilvl w:val="0"/>
          <w:numId w:val="33"/>
        </w:numPr>
      </w:pPr>
      <w:r>
        <w:t xml:space="preserve">It triggers </w:t>
      </w:r>
      <w:r w:rsidR="009C6A55" w:rsidRPr="009C6A55">
        <w:rPr>
          <w:rFonts w:ascii="Franklin Gothic Demi" w:hAnsi="Franklin Gothic Demi"/>
          <w:lang w:eastAsia="en-US"/>
        </w:rPr>
        <w:t>pg1</w:t>
      </w:r>
      <w:r w:rsidR="009C6A55">
        <w:t xml:space="preserve"> </w:t>
      </w:r>
      <w:r>
        <w:t>backups</w:t>
      </w:r>
      <w:r w:rsidR="009C6A55">
        <w:t xml:space="preserve"> </w:t>
      </w:r>
      <w:r w:rsidR="00C71358">
        <w:t xml:space="preserve">according to </w:t>
      </w:r>
      <w:r w:rsidR="00A51ED9">
        <w:t>a user-defined schedule</w:t>
      </w:r>
      <w:r w:rsidR="00C71358">
        <w:t>.</w:t>
      </w:r>
    </w:p>
    <w:p w14:paraId="11D84608" w14:textId="61D68577" w:rsidR="00C71358" w:rsidRDefault="00C71358" w:rsidP="00FE0E0D">
      <w:pPr>
        <w:pStyle w:val="ListParagraph"/>
        <w:numPr>
          <w:ilvl w:val="0"/>
          <w:numId w:val="33"/>
        </w:numPr>
      </w:pPr>
      <w:r>
        <w:t xml:space="preserve">It purges backups according to </w:t>
      </w:r>
      <w:r w:rsidR="00FF6BC5">
        <w:t>a</w:t>
      </w:r>
      <w:r>
        <w:t xml:space="preserve"> user-defined purge policy.</w:t>
      </w:r>
      <w:bookmarkStart w:id="25" w:name="_GoBack"/>
      <w:bookmarkEnd w:id="25"/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26C7CE45" w:rsidR="003238D2" w:rsidRPr="00AA1ECB" w:rsidRDefault="00DB5C06" w:rsidP="003238D2">
      <w:pPr>
        <w:pStyle w:val="Heading1"/>
        <w:rPr>
          <w:rFonts w:eastAsia="Times New Roman"/>
          <w:lang w:eastAsia="en-US"/>
        </w:rPr>
      </w:pPr>
      <w:bookmarkStart w:id="26" w:name="_Toc473363602"/>
      <w:r>
        <w:rPr>
          <w:rFonts w:eastAsia="Times New Roman"/>
          <w:lang w:eastAsia="en-US"/>
        </w:rPr>
        <w:lastRenderedPageBreak/>
        <w:t>Use Cases</w:t>
      </w:r>
      <w:bookmarkEnd w:id="26"/>
      <w:r w:rsidR="003238D2" w:rsidRPr="00AA1ECB">
        <w:rPr>
          <w:rFonts w:eastAsia="Times New Roman"/>
          <w:lang w:eastAsia="en-US"/>
        </w:rPr>
        <w:t xml:space="preserve"> </w:t>
      </w:r>
    </w:p>
    <w:p w14:paraId="0F9F1804" w14:textId="7766E1DC" w:rsidR="00164DFF" w:rsidRDefault="00CF4B16" w:rsidP="00164DFF">
      <w:pPr>
        <w:pStyle w:val="Heading2"/>
      </w:pPr>
      <w:bookmarkStart w:id="27" w:name="_Toc473363603"/>
      <w:r>
        <w:t>Launching T</w:t>
      </w:r>
      <w:r w:rsidR="00DB5C06">
        <w:t>he TCS</w:t>
      </w:r>
      <w:r>
        <w:t xml:space="preserve"> For The First Time</w:t>
      </w:r>
      <w:bookmarkEnd w:id="27"/>
    </w:p>
    <w:p w14:paraId="0FF3F965" w14:textId="1DB360F9" w:rsidR="00164DFF" w:rsidRPr="00164DFF" w:rsidRDefault="00164DFF" w:rsidP="00164DFF">
      <w:pPr>
        <w:pStyle w:val="Heading3"/>
      </w:pPr>
      <w:bookmarkStart w:id="28" w:name="_Toc473363604"/>
      <w:r>
        <w:t>Mainstream TCS</w:t>
      </w:r>
      <w:bookmarkEnd w:id="28"/>
    </w:p>
    <w:p w14:paraId="0B8FDFFE" w14:textId="2532923C" w:rsidR="00535614" w:rsidRDefault="006947D9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164DFF">
        <w:rPr>
          <w:rFonts w:ascii="Arial" w:hAnsi="Arial" w:cs="Arial"/>
          <w:color w:val="000000"/>
          <w:sz w:val="22"/>
          <w:szCs w:val="22"/>
        </w:rPr>
        <w:t>t is assumed that the TCS environment variables have been configured correctly – see Section 2).</w:t>
      </w:r>
      <w:r>
        <w:rPr>
          <w:rFonts w:ascii="Arial" w:hAnsi="Arial" w:cs="Arial"/>
          <w:color w:val="000000"/>
          <w:sz w:val="22"/>
          <w:szCs w:val="22"/>
        </w:rPr>
        <w:t xml:space="preserve">  In the following, it is </w:t>
      </w:r>
      <w:r w:rsidR="00460855">
        <w:rPr>
          <w:rFonts w:ascii="Arial" w:hAnsi="Arial" w:cs="Arial"/>
          <w:color w:val="000000"/>
          <w:sz w:val="22"/>
          <w:szCs w:val="22"/>
        </w:rPr>
        <w:t xml:space="preserve">assumed 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that the </w:t>
      </w:r>
      <w:r w:rsidR="00460855">
        <w:rPr>
          <w:rFonts w:ascii="Arial" w:hAnsi="Arial" w:cs="Arial"/>
          <w:color w:val="000000"/>
          <w:sz w:val="22"/>
          <w:szCs w:val="22"/>
        </w:rPr>
        <w:t>first install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 is </w:t>
      </w:r>
      <w:r w:rsidR="00CA104A">
        <w:rPr>
          <w:rFonts w:ascii="Arial" w:hAnsi="Arial" w:cs="Arial"/>
          <w:color w:val="000000"/>
          <w:sz w:val="22"/>
          <w:szCs w:val="22"/>
        </w:rPr>
        <w:t>version 1.0 (v1.0).</w:t>
      </w:r>
    </w:p>
    <w:p w14:paraId="2990BF09" w14:textId="77777777" w:rsidR="00535614" w:rsidRDefault="00535614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751788" w14:textId="504023D0" w:rsidR="00AE3F1A" w:rsidRPr="00AE3F1A" w:rsidRDefault="00AE3F1A" w:rsidP="00DB5C0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95049">
        <w:rPr>
          <w:rFonts w:ascii="Courier New" w:hAnsi="Courier New" w:cs="Courier New"/>
          <w:b/>
          <w:bCs/>
          <w:color w:val="000000"/>
          <w:sz w:val="18"/>
          <w:szCs w:val="18"/>
        </w:rPr>
        <w:t>$ c</w:t>
      </w:r>
      <w:r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d ~</w:t>
      </w:r>
    </w:p>
    <w:p w14:paraId="469594BB" w14:textId="36DA71C4" w:rsidR="00AE3F1A" w:rsidRPr="00AE3F1A" w:rsidRDefault="00995049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535614"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git clone https://github.com/ccbcadm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in/telephony-capture-service tcs</w:t>
      </w:r>
      <w:r w:rsidR="008721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="00AE3F1A" w:rsidRPr="00AE3F1A">
        <w:rPr>
          <w:rFonts w:ascii="Courier New" w:hAnsi="Courier New" w:cs="Courier New"/>
          <w:b/>
          <w:bCs/>
          <w:color w:val="000000"/>
          <w:sz w:val="18"/>
          <w:szCs w:val="18"/>
          <w:vertAlign w:val="superscript"/>
        </w:rPr>
        <w:t>1</w:t>
      </w:r>
    </w:p>
    <w:p w14:paraId="1EBE040F" w14:textId="0C8D13B3" w:rsidR="006D5947" w:rsidRPr="00A01D83" w:rsidRDefault="009B6963" w:rsidP="00A01D8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tcsproj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v1.0</w:t>
      </w:r>
    </w:p>
    <w:p w14:paraId="4A77F9A5" w14:textId="433E8BA5" w:rsidR="00AE3F1A" w:rsidRPr="00052C32" w:rsidRDefault="006D5947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F42871">
        <w:rPr>
          <w:rFonts w:ascii="Courier New" w:hAnsi="Courier New" w:cs="Courier New"/>
          <w:b/>
          <w:bCs/>
          <w:sz w:val="18"/>
          <w:szCs w:val="18"/>
        </w:rPr>
        <w:t xml:space="preserve">tcs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6E651B2D" w14:textId="77777777" w:rsidR="00AE3F1A" w:rsidRPr="00AE3F1A" w:rsidRDefault="00AE3F1A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3356EA9" w14:textId="7D24974E" w:rsidR="00164DFF" w:rsidRDefault="00995049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Clones the tcs GitHub repository into the tcs</w:t>
      </w:r>
      <w:r w:rsidR="00AE3F1A">
        <w:rPr>
          <w:rFonts w:ascii="Arial" w:hAnsi="Arial" w:cs="Arial"/>
          <w:color w:val="000000"/>
          <w:sz w:val="22"/>
          <w:szCs w:val="22"/>
        </w:rPr>
        <w:t xml:space="preserve"> folder.</w:t>
      </w:r>
    </w:p>
    <w:p w14:paraId="05C791EE" w14:textId="0A234F6B" w:rsidR="00DB5C06" w:rsidRPr="00164DFF" w:rsidRDefault="009B6963" w:rsidP="00164D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command will create the </w:t>
      </w:r>
      <w:r w:rsidR="00BE0D62">
        <w:rPr>
          <w:rFonts w:ascii="Arial" w:hAnsi="Arial" w:cs="Arial"/>
          <w:color w:val="000000"/>
          <w:sz w:val="22"/>
          <w:szCs w:val="22"/>
        </w:rPr>
        <w:t>following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D5947">
        <w:rPr>
          <w:rFonts w:ascii="Arial" w:hAnsi="Arial" w:cs="Arial"/>
          <w:color w:val="000000"/>
          <w:sz w:val="22"/>
          <w:szCs w:val="22"/>
        </w:rPr>
        <w:t xml:space="preserve">common </w:t>
      </w:r>
      <w:r>
        <w:rPr>
          <w:rFonts w:ascii="Arial" w:hAnsi="Arial" w:cs="Arial"/>
          <w:color w:val="000000"/>
          <w:sz w:val="22"/>
          <w:szCs w:val="22"/>
        </w:rPr>
        <w:t xml:space="preserve">TCS containers </w:t>
      </w:r>
      <w:r w:rsidR="006D5947">
        <w:rPr>
          <w:rFonts w:ascii="Arial" w:hAnsi="Arial" w:cs="Arial"/>
          <w:color w:val="000000"/>
          <w:sz w:val="22"/>
          <w:szCs w:val="22"/>
        </w:rPr>
        <w:t xml:space="preserve">(these containers are common to all 3 environments).  </w:t>
      </w:r>
      <w:r>
        <w:rPr>
          <w:rFonts w:ascii="Arial" w:hAnsi="Arial" w:cs="Arial"/>
          <w:color w:val="000000"/>
          <w:sz w:val="22"/>
          <w:szCs w:val="22"/>
        </w:rPr>
        <w:t>Note that the user must select which Postgres container will be used to support the application</w:t>
      </w:r>
      <w:r w:rsidR="006D5947">
        <w:rPr>
          <w:rFonts w:ascii="Arial" w:hAnsi="Arial" w:cs="Arial"/>
          <w:color w:val="000000"/>
          <w:sz w:val="22"/>
          <w:szCs w:val="22"/>
        </w:rPr>
        <w:t>.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 Kitematic will show the following containers.</w:t>
      </w:r>
    </w:p>
    <w:p w14:paraId="6A267AE2" w14:textId="77777777" w:rsidR="00052C32" w:rsidRDefault="00052C32" w:rsidP="00052C32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F55ED63" w14:textId="42483566" w:rsidR="00DB5C06" w:rsidRDefault="009B6963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pg1</w:t>
      </w:r>
    </w:p>
    <w:p w14:paraId="3E80AF7B" w14:textId="77777777" w:rsidR="00DB5C06" w:rsidRPr="003A1BB2" w:rsidRDefault="00DB5C06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rabbitmq</w:t>
      </w:r>
    </w:p>
    <w:p w14:paraId="10FCD503" w14:textId="4DF2FB40" w:rsidR="00360017" w:rsidRPr="00A01D83" w:rsidRDefault="009B6963" w:rsidP="00A01D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barman</w:t>
      </w:r>
    </w:p>
    <w:p w14:paraId="5E3996B6" w14:textId="77777777" w:rsidR="00360017" w:rsidRDefault="00360017" w:rsidP="003600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7BCF28" w14:textId="295518A2" w:rsidR="00360017" w:rsidRDefault="00360017" w:rsidP="0036001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Creates the following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Production-specific containers</w:t>
      </w:r>
      <w:r w:rsidR="00806B10">
        <w:rPr>
          <w:rFonts w:ascii="Arial" w:hAnsi="Arial" w:cs="Arial"/>
          <w:color w:val="000000"/>
          <w:sz w:val="22"/>
          <w:szCs w:val="22"/>
        </w:rPr>
        <w:t>:</w:t>
      </w:r>
    </w:p>
    <w:p w14:paraId="486B206E" w14:textId="77777777" w:rsidR="00360017" w:rsidRDefault="00360017" w:rsidP="0036001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CB847A0" w14:textId="47C47C3F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-pbx-interface</w:t>
      </w:r>
    </w:p>
    <w:p w14:paraId="44A0C3E7" w14:textId="2EE6858B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-tms-interface</w:t>
      </w:r>
    </w:p>
    <w:p w14:paraId="47D87B05" w14:textId="33F4BC71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-database-interface</w:t>
      </w:r>
    </w:p>
    <w:p w14:paraId="44D79AFB" w14:textId="77777777" w:rsidR="009D10F0" w:rsidRDefault="00164DFF" w:rsidP="009D10F0">
      <w:pPr>
        <w:pStyle w:val="Heading3"/>
      </w:pPr>
      <w:bookmarkStart w:id="29" w:name="_Toc473363605"/>
      <w:r>
        <w:t>TMS Simulator</w:t>
      </w:r>
      <w:bookmarkEnd w:id="29"/>
    </w:p>
    <w:p w14:paraId="710C522F" w14:textId="1285A50F" w:rsidR="00DB5C06" w:rsidRDefault="00DB5C06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During system / acceptance testing </w:t>
      </w:r>
      <w:r w:rsidR="00164DFF">
        <w:rPr>
          <w:rFonts w:ascii="Arial" w:hAnsi="Arial" w:cs="Arial"/>
          <w:color w:val="000000"/>
          <w:sz w:val="22"/>
          <w:szCs w:val="22"/>
        </w:rPr>
        <w:t>it will be necessary to hav</w:t>
      </w:r>
      <w:r>
        <w:rPr>
          <w:rFonts w:ascii="Arial" w:hAnsi="Arial" w:cs="Arial"/>
          <w:color w:val="000000"/>
          <w:sz w:val="22"/>
          <w:szCs w:val="22"/>
        </w:rPr>
        <w:t xml:space="preserve">e a sink for data destined for the TMS (otherwise the </w:t>
      </w:r>
      <w:r w:rsidR="00835811">
        <w:rPr>
          <w:rFonts w:ascii="Arial" w:hAnsi="Arial" w:cs="Arial"/>
          <w:color w:val="000000"/>
          <w:sz w:val="22"/>
          <w:szCs w:val="22"/>
        </w:rPr>
        <w:t>TMS queue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35811">
        <w:rPr>
          <w:rFonts w:ascii="Arial" w:hAnsi="Arial" w:cs="Arial"/>
          <w:color w:val="000000"/>
          <w:sz w:val="22"/>
          <w:szCs w:val="22"/>
        </w:rPr>
        <w:t>w</w:t>
      </w:r>
      <w:r w:rsidR="009D10F0">
        <w:rPr>
          <w:rFonts w:ascii="Arial" w:hAnsi="Arial" w:cs="Arial"/>
          <w:color w:val="000000"/>
          <w:sz w:val="22"/>
          <w:szCs w:val="22"/>
        </w:rPr>
        <w:t>ould</w:t>
      </w:r>
      <w:r w:rsidR="00BE0D62">
        <w:rPr>
          <w:rFonts w:ascii="Arial" w:hAnsi="Arial" w:cs="Arial"/>
          <w:color w:val="000000"/>
          <w:sz w:val="22"/>
          <w:szCs w:val="22"/>
        </w:rPr>
        <w:t xml:space="preserve"> grow without limit</w:t>
      </w:r>
      <w:r>
        <w:rPr>
          <w:rFonts w:ascii="Arial" w:hAnsi="Arial" w:cs="Arial"/>
          <w:color w:val="000000"/>
          <w:sz w:val="22"/>
          <w:szCs w:val="22"/>
        </w:rPr>
        <w:t xml:space="preserve"> if there is an input PBX source</w:t>
      </w:r>
      <w:r w:rsidR="009D10F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 </w:t>
      </w:r>
      <w:r w:rsidR="009D10F0">
        <w:rPr>
          <w:rFonts w:ascii="Arial" w:hAnsi="Arial" w:cs="Arial"/>
          <w:color w:val="000000"/>
          <w:sz w:val="22"/>
          <w:szCs w:val="22"/>
        </w:rPr>
        <w:t>This is the purpose of the TMS Simulator.  It can be brought up as follows:</w:t>
      </w:r>
    </w:p>
    <w:p w14:paraId="249DA689" w14:textId="77777777" w:rsidR="00D95F48" w:rsidRPr="00D95F48" w:rsidRDefault="00D95F48" w:rsidP="00D95F4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62660C4" w14:textId="1BA74038" w:rsidR="00D95F48" w:rsidRDefault="005E273E" w:rsidP="004608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tms-simulator</w:t>
      </w:r>
    </w:p>
    <w:p w14:paraId="0440FEF4" w14:textId="77777777" w:rsidR="00E568CD" w:rsidRDefault="00E568CD" w:rsidP="00E568C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C81798F" w14:textId="305F5CFD" w:rsidR="00E568CD" w:rsidRPr="00E568CD" w:rsidRDefault="00E568CD" w:rsidP="00E568CD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The corresponding cont</w:t>
      </w:r>
      <w:r w:rsidR="00652E21">
        <w:rPr>
          <w:rFonts w:ascii="Arial" w:hAnsi="Arial" w:cs="Arial"/>
          <w:color w:val="000000"/>
          <w:sz w:val="22"/>
          <w:szCs w:val="22"/>
        </w:rPr>
        <w:t>ainer name will be shown 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6D49E6E5" w14:textId="74840A42" w:rsidR="009D10F0" w:rsidRDefault="00AE2033" w:rsidP="009D10F0">
      <w:pPr>
        <w:pStyle w:val="Heading3"/>
        <w:rPr>
          <w:rFonts w:eastAsia="Times New Roman"/>
        </w:rPr>
      </w:pPr>
      <w:bookmarkStart w:id="30" w:name="_Toc473363606"/>
      <w:r>
        <w:rPr>
          <w:rFonts w:eastAsia="Times New Roman"/>
        </w:rPr>
        <w:t>PBX</w:t>
      </w:r>
      <w:r w:rsidR="009D10F0">
        <w:rPr>
          <w:rFonts w:eastAsia="Times New Roman"/>
        </w:rPr>
        <w:t xml:space="preserve"> Simulator</w:t>
      </w:r>
      <w:bookmarkEnd w:id="30"/>
    </w:p>
    <w:p w14:paraId="00B9D1FC" w14:textId="74647DC3" w:rsidR="00DB5C06" w:rsidRDefault="00B03C51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pre-operational phases of the project, it may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be desirable to be able to send the TCS an artificial stream of SMDR messages.</w:t>
      </w:r>
      <w:r w:rsidR="00DB5C06">
        <w:rPr>
          <w:rFonts w:ascii="Arial" w:hAnsi="Arial" w:cs="Arial"/>
          <w:color w:val="000000"/>
          <w:sz w:val="22"/>
          <w:szCs w:val="22"/>
        </w:rPr>
        <w:t> 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This stream can be created by executing the following command:</w:t>
      </w:r>
    </w:p>
    <w:p w14:paraId="333F1706" w14:textId="77777777" w:rsidR="00B11167" w:rsidRDefault="00B11167" w:rsidP="00B11167">
      <w:pPr>
        <w:pStyle w:val="NormalWeb"/>
        <w:spacing w:before="0" w:beforeAutospacing="0" w:after="0" w:afterAutospacing="0"/>
        <w:textAlignment w:val="baseline"/>
      </w:pPr>
    </w:p>
    <w:p w14:paraId="53755F66" w14:textId="1F4DE3A7" w:rsidR="00B11167" w:rsidRPr="00B11167" w:rsidRDefault="006947D9" w:rsidP="00B11167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B11167">
        <w:rPr>
          <w:rFonts w:ascii="Courier New" w:hAnsi="Courier New" w:cs="Courier New"/>
          <w:b/>
          <w:color w:val="000000"/>
          <w:sz w:val="18"/>
          <w:szCs w:val="18"/>
        </w:rPr>
        <w:t>pbx</w:t>
      </w:r>
      <w:r w:rsidR="00E568CD">
        <w:rPr>
          <w:rFonts w:ascii="Courier New" w:hAnsi="Courier New" w:cs="Courier New"/>
          <w:b/>
          <w:color w:val="000000"/>
          <w:sz w:val="18"/>
          <w:szCs w:val="18"/>
        </w:rPr>
        <w:t>-simulator</w:t>
      </w:r>
    </w:p>
    <w:p w14:paraId="34914458" w14:textId="77777777" w:rsidR="00AE2033" w:rsidRDefault="00AE2033" w:rsidP="00AE20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BD8ADF" w14:textId="0946C239" w:rsidR="00AE2033" w:rsidRPr="000242C0" w:rsidRDefault="00E568CD" w:rsidP="000242C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corresponding container name will be shown </w:t>
      </w:r>
      <w:r w:rsidR="00652E21">
        <w:rPr>
          <w:rFonts w:ascii="Arial" w:hAnsi="Arial" w:cs="Arial"/>
          <w:color w:val="000000"/>
          <w:sz w:val="22"/>
          <w:szCs w:val="22"/>
        </w:rPr>
        <w:t>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5591F1CB" w14:textId="1A8101EC" w:rsidR="00AE2033" w:rsidRDefault="00AA4B98" w:rsidP="00AA4B98">
      <w:pPr>
        <w:pStyle w:val="Heading3"/>
      </w:pPr>
      <w:bookmarkStart w:id="31" w:name="_Toc473363607"/>
      <w:r>
        <w:lastRenderedPageBreak/>
        <w:t>Mangle</w:t>
      </w:r>
      <w:bookmarkEnd w:id="31"/>
    </w:p>
    <w:p w14:paraId="623376C0" w14:textId="474B0F55" w:rsidR="00AA4B98" w:rsidRPr="00AA4B98" w:rsidRDefault="00AA4B98" w:rsidP="00460855">
      <w:r>
        <w:t>This tool takes as input a folder containing one or more raw SMDR files and randomizes the last 4 digits of all unknown phone numbers and records the resulting transformed records into files to be found in the output folder.</w:t>
      </w:r>
    </w:p>
    <w:p w14:paraId="259800F4" w14:textId="2991EC7B" w:rsidR="00AA4B98" w:rsidRPr="00AA4B98" w:rsidRDefault="006947D9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color w:val="000000"/>
          <w:sz w:val="18"/>
          <w:szCs w:val="18"/>
        </w:rPr>
        <w:t>mangle source-smdr-directory target-smdr-directory</w:t>
      </w:r>
    </w:p>
    <w:p w14:paraId="7A848478" w14:textId="77777777" w:rsid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8DAD7BE" w14:textId="77777777" w:rsidR="00AA4B98" w:rsidRDefault="00AA4B98" w:rsidP="009F792B">
      <w:r>
        <w:t>or as an example:</w:t>
      </w:r>
    </w:p>
    <w:p w14:paraId="031B8A80" w14:textId="5E2A0066" w:rsidR="00DB5C06" w:rsidRP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br/>
      </w:r>
      <w:r w:rsidR="006947D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t>mangle /smdr-data/smdr-data-002 /smdr-data/smdr-data-003</w:t>
      </w:r>
    </w:p>
    <w:p w14:paraId="529CF6B6" w14:textId="77777777" w:rsidR="00DB5C06" w:rsidRDefault="00DB5C06" w:rsidP="00DB5C06">
      <w:pPr>
        <w:rPr>
          <w:rFonts w:ascii="Times New Roman" w:eastAsia="Times New Roman" w:hAnsi="Times New Roman" w:cs="Times New Roman"/>
          <w:color w:val="auto"/>
          <w:sz w:val="24"/>
        </w:rPr>
      </w:pPr>
    </w:p>
    <w:p w14:paraId="6AB19662" w14:textId="4497A6EA" w:rsidR="00DB5C06" w:rsidRDefault="00DB5C06" w:rsidP="00DB5C06">
      <w:pPr>
        <w:pStyle w:val="Heading2"/>
      </w:pPr>
      <w:bookmarkStart w:id="32" w:name="_Toc473363608"/>
      <w:r>
        <w:t>TCS Health Monitoring</w:t>
      </w:r>
      <w:bookmarkEnd w:id="32"/>
    </w:p>
    <w:p w14:paraId="7F6487AF" w14:textId="1572D131" w:rsidR="00D95F48" w:rsidRPr="00460855" w:rsidRDefault="00D95F48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section provides information for how to monitor and otherwise check that the TCS is performing properly.</w:t>
      </w:r>
    </w:p>
    <w:p w14:paraId="2EA8F80C" w14:textId="77777777" w:rsidR="005D2C04" w:rsidRDefault="00B40D6F" w:rsidP="005D2C04">
      <w:pPr>
        <w:pStyle w:val="Heading3"/>
      </w:pPr>
      <w:bookmarkStart w:id="33" w:name="_Toc473363609"/>
      <w:r>
        <w:t>Kitematic</w:t>
      </w:r>
      <w:bookmarkEnd w:id="33"/>
    </w:p>
    <w:p w14:paraId="5916A3E4" w14:textId="730818E7" w:rsidR="00DB5C06" w:rsidRDefault="00B40D6F" w:rsidP="005D2C04">
      <w:r w:rsidRPr="005D2C04">
        <w:t xml:space="preserve">Kitematic is ideal for providing a visual confirmation that all the </w:t>
      </w:r>
      <w:r w:rsidR="005D2C04" w:rsidRPr="005D2C04">
        <w:t xml:space="preserve">TCS </w:t>
      </w:r>
      <w:r w:rsidR="00B714B9">
        <w:t>containers</w:t>
      </w:r>
      <w:r w:rsidRPr="005D2C04">
        <w:t xml:space="preserve"> are running (Kitematic also provides a means to Stop, Start, and Restart individual services).</w:t>
      </w:r>
    </w:p>
    <w:p w14:paraId="5BCA9EB1" w14:textId="724B0314" w:rsidR="00024E7D" w:rsidRPr="005D2C04" w:rsidRDefault="00342AC5" w:rsidP="005D2C04">
      <w:pPr>
        <w:rPr>
          <w:rFonts w:asciiTheme="majorHAnsi" w:hAnsiTheme="majorHAnsi" w:cstheme="majorBidi"/>
          <w:color w:val="000000" w:themeColor="text1"/>
        </w:rPr>
      </w:pPr>
      <w:r w:rsidRPr="00342AC5">
        <w:rPr>
          <w:rFonts w:asciiTheme="majorHAnsi" w:hAnsiTheme="majorHAnsi" w:cstheme="majorBidi"/>
          <w:noProof/>
          <w:color w:val="000000" w:themeColor="text1"/>
          <w:lang w:eastAsia="en-US"/>
        </w:rPr>
        <w:drawing>
          <wp:inline distT="0" distB="0" distL="0" distR="0" wp14:anchorId="38AB321D" wp14:editId="689B500D">
            <wp:extent cx="5141027" cy="4499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5498" cy="4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EE6" w14:textId="52DFC1EC" w:rsidR="005D2C04" w:rsidRDefault="005D2C04" w:rsidP="005D2C04">
      <w:pPr>
        <w:pStyle w:val="Heading3"/>
      </w:pPr>
      <w:bookmarkStart w:id="34" w:name="_Toc473363610"/>
      <w:r>
        <w:lastRenderedPageBreak/>
        <w:t>RabbitMQ Management Console</w:t>
      </w:r>
      <w:bookmarkEnd w:id="34"/>
    </w:p>
    <w:p w14:paraId="03A272B6" w14:textId="23E14291" w:rsidR="005D2C04" w:rsidRDefault="005D2C04" w:rsidP="005D2C04">
      <w:r>
        <w:t xml:space="preserve">Provides a </w:t>
      </w:r>
      <w:r w:rsidR="00024E7D">
        <w:t xml:space="preserve">wealth of information about the internal state of RabbitMQ.  The most </w:t>
      </w:r>
      <w:r w:rsidR="00DB5C06">
        <w:t>important one in this context is the ability to view how many messages are in the queues (nominally the queue size should be more or less 0 if everything is working properly).</w:t>
      </w:r>
      <w:r w:rsidR="008127D7">
        <w:t xml:space="preserve">  Note: the user name / password is ‘guest’/’guest’.</w:t>
      </w:r>
    </w:p>
    <w:p w14:paraId="7C210C1A" w14:textId="0A27EE78" w:rsidR="005F2C0C" w:rsidRDefault="00FE7835" w:rsidP="005D2C04">
      <w:proofErr w:type="spellStart"/>
      <w:r>
        <w:t>ToDo</w:t>
      </w:r>
      <w:proofErr w:type="spellEnd"/>
      <w:r w:rsidR="005F2C0C">
        <w:t>: change defaults.</w:t>
      </w:r>
    </w:p>
    <w:p w14:paraId="25013CB7" w14:textId="5C886D1E" w:rsidR="008127D7" w:rsidRDefault="00036E4A" w:rsidP="005D2C04">
      <w:r w:rsidRPr="00036E4A">
        <w:rPr>
          <w:noProof/>
          <w:lang w:eastAsia="en-US"/>
        </w:rPr>
        <w:drawing>
          <wp:inline distT="0" distB="0" distL="0" distR="0" wp14:anchorId="34C28C9C" wp14:editId="04F59602">
            <wp:extent cx="5486400" cy="42811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C" w14:textId="4EE85582" w:rsidR="005D2C04" w:rsidRDefault="003569B4" w:rsidP="005D2C04">
      <w:pPr>
        <w:pStyle w:val="Heading3"/>
      </w:pPr>
      <w:bookmarkStart w:id="35" w:name="_Toc473363611"/>
      <w:r>
        <w:t>Docker Logs</w:t>
      </w:r>
      <w:bookmarkEnd w:id="35"/>
    </w:p>
    <w:p w14:paraId="6751F9C8" w14:textId="06404F5A" w:rsidR="003569B4" w:rsidRDefault="003569B4" w:rsidP="003569B4">
      <w:r>
        <w:t xml:space="preserve">The various log files produced by the TCS containers can be retrieved by using the </w:t>
      </w:r>
      <w:r w:rsidR="008D3FEB" w:rsidRPr="008D3FEB">
        <w:rPr>
          <w:rFonts w:ascii="Courier New" w:hAnsi="Courier New" w:cs="Courier New"/>
          <w:b/>
          <w:bCs/>
          <w:sz w:val="20"/>
          <w:szCs w:val="20"/>
        </w:rPr>
        <w:t xml:space="preserve">$ </w:t>
      </w:r>
      <w:r w:rsidRPr="008D3FEB">
        <w:rPr>
          <w:rFonts w:ascii="Courier New" w:hAnsi="Courier New" w:cs="Courier New"/>
          <w:b/>
          <w:bCs/>
          <w:sz w:val="20"/>
          <w:szCs w:val="20"/>
        </w:rPr>
        <w:t>docker logs</w:t>
      </w:r>
      <w:r>
        <w:t xml:space="preserve"> command</w:t>
      </w:r>
      <w:r w:rsidR="008D3FEB">
        <w:t>.  Its usage is available as follows:</w:t>
      </w:r>
    </w:p>
    <w:p w14:paraId="30F370EF" w14:textId="7A577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-</w:t>
      </w:r>
      <w:r>
        <w:rPr>
          <w:rFonts w:ascii="Courier New" w:hAnsi="Courier New" w:cs="Courier New"/>
          <w:b/>
          <w:color w:val="000000"/>
          <w:sz w:val="18"/>
          <w:szCs w:val="18"/>
        </w:rPr>
        <w:t>help</w:t>
      </w:r>
    </w:p>
    <w:p w14:paraId="5B4C1972" w14:textId="77777777" w:rsidR="008D3FEB" w:rsidRDefault="008D3FEB" w:rsidP="008D3FEB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CF31CF2" w14:textId="0E0D93F6" w:rsidR="008D3FEB" w:rsidRDefault="008D3FEB" w:rsidP="008D3FEB">
      <w:r>
        <w:t>A particular usage is the following (all the</w:t>
      </w:r>
      <w:r w:rsidR="00E231AC">
        <w:t xml:space="preserve"> log entries produced by the pbx</w:t>
      </w:r>
      <w:r>
        <w:t>-interface container prefixed with timestamps</w:t>
      </w:r>
      <w:r w:rsidR="00E231AC">
        <w:t>)</w:t>
      </w:r>
      <w:r>
        <w:t>:</w:t>
      </w:r>
    </w:p>
    <w:p w14:paraId="00F61315" w14:textId="6B9B0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E512B1">
        <w:rPr>
          <w:rFonts w:ascii="Courier New" w:hAnsi="Courier New" w:cs="Courier New"/>
          <w:b/>
          <w:color w:val="000000"/>
          <w:sz w:val="18"/>
          <w:szCs w:val="18"/>
        </w:rPr>
        <w:t>t pbx</w:t>
      </w:r>
      <w:r>
        <w:rPr>
          <w:rFonts w:ascii="Courier New" w:hAnsi="Courier New" w:cs="Courier New"/>
          <w:b/>
          <w:color w:val="000000"/>
          <w:sz w:val="18"/>
          <w:szCs w:val="18"/>
        </w:rPr>
        <w:t>-interface</w:t>
      </w:r>
    </w:p>
    <w:p w14:paraId="0FAD5664" w14:textId="77777777" w:rsidR="008D3FEB" w:rsidRPr="008D3FEB" w:rsidRDefault="008D3FEB" w:rsidP="008D3FEB"/>
    <w:p w14:paraId="08D753CE" w14:textId="4A087007" w:rsidR="00DB5C06" w:rsidRDefault="00B93570" w:rsidP="00DB5C06">
      <w:pPr>
        <w:pStyle w:val="Heading2"/>
      </w:pPr>
      <w:bookmarkStart w:id="36" w:name="_Toc473363612"/>
      <w:r>
        <w:t xml:space="preserve">Changing </w:t>
      </w:r>
      <w:r w:rsidR="00DB5C06">
        <w:t>TCS Version</w:t>
      </w:r>
      <w:bookmarkEnd w:id="36"/>
    </w:p>
    <w:p w14:paraId="0E95711A" w14:textId="1F31BA48" w:rsidR="003170D7" w:rsidRDefault="003170D7" w:rsidP="009F792B">
      <w:r>
        <w:t xml:space="preserve">Assume that v1.3 is currently running.  The following commanding </w:t>
      </w:r>
      <w:r w:rsidR="00B714B9">
        <w:t>switches the TCS to version v1.4</w:t>
      </w:r>
      <w:r>
        <w:t>.</w:t>
      </w:r>
    </w:p>
    <w:p w14:paraId="47D3FD4C" w14:textId="77777777" w:rsidR="002B46A6" w:rsidRPr="002B46A6" w:rsidRDefault="002B46A6" w:rsidP="002B46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000000"/>
          <w:sz w:val="18"/>
          <w:szCs w:val="18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3B0FBF" wp14:editId="257E0F40">
                <wp:extent cx="5102287" cy="810000"/>
                <wp:effectExtent l="0" t="0" r="28575" b="336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7" cy="81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46A033FF" w14:textId="22D6D75B" w:rsidR="00FF6BC5" w:rsidRPr="002B46A6" w:rsidRDefault="00FF6BC5" w:rsidP="002B46A6">
                            <w:pPr>
                              <w:jc w:val="both"/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Before proceeding, the TCS environment variables should be reviewed</w:t>
                            </w:r>
                            <w:r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.</w:t>
                            </w: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  <w:lang w:eastAsia="en-US"/>
                              </w:rPr>
                              <w:t xml:space="preserve">  Environment variables can be added and / or modified from one version to the next.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3B0FB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01.7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" fillcolor="#f2f2f2 [3052]" strokecolor="#bfbfbf [2412]">
                <v:textbox style="mso-fit-shape-to-text:t">
                  <w:txbxContent>
                    <w:p w14:paraId="46A033FF" w14:textId="22D6D75B" w:rsidR="00FF6BC5" w:rsidRPr="002B46A6" w:rsidRDefault="00FF6BC5" w:rsidP="002B46A6">
                      <w:pPr>
                        <w:jc w:val="both"/>
                        <w:rPr>
                          <w:i/>
                          <w:color w:val="0070C0"/>
                          <w:sz w:val="21"/>
                          <w:szCs w:val="21"/>
                        </w:rPr>
                      </w:pP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</w:rPr>
                        <w:t>Before proceeding, the TCS environment variables should be reviewed</w:t>
                      </w:r>
                      <w:r>
                        <w:rPr>
                          <w:i/>
                          <w:color w:val="0070C0"/>
                          <w:sz w:val="21"/>
                          <w:szCs w:val="21"/>
                        </w:rPr>
                        <w:t>.</w:t>
                      </w: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  <w:lang w:eastAsia="en-US"/>
                        </w:rPr>
                        <w:t xml:space="preserve">  Environment variables can be added and / or modified from one version to the next.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BAEE8" w14:textId="77777777" w:rsidR="002B46A6" w:rsidRDefault="002B46A6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C4ADE3B" w14:textId="6D81C38F" w:rsidR="003170D7" w:rsidRDefault="009F792B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tcsproj</w:t>
      </w:r>
      <w:proofErr w:type="spellEnd"/>
      <w:r w:rsidR="00B714B9">
        <w:rPr>
          <w:rFonts w:ascii="Courier New" w:hAnsi="Courier New" w:cs="Courier New"/>
          <w:b/>
          <w:color w:val="000000"/>
          <w:sz w:val="18"/>
          <w:szCs w:val="18"/>
        </w:rPr>
        <w:t xml:space="preserve"> v1.4</w:t>
      </w:r>
      <w:r w:rsidR="00E21D3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E21D3C">
        <w:rPr>
          <w:rFonts w:ascii="Courier New" w:hAnsi="Courier New" w:cs="Courier New"/>
          <w:b/>
          <w:bCs/>
          <w:sz w:val="18"/>
          <w:szCs w:val="18"/>
          <w:vertAlign w:val="superscript"/>
        </w:rPr>
        <w:t>1</w:t>
      </w:r>
    </w:p>
    <w:p w14:paraId="564936C1" w14:textId="461A351A" w:rsidR="00B739EC" w:rsidRDefault="00B739EC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tcs down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2</w:t>
      </w:r>
    </w:p>
    <w:p w14:paraId="4DEEA438" w14:textId="62D738CC" w:rsidR="00B739EC" w:rsidRPr="004A1E5D" w:rsidRDefault="00B739EC" w:rsidP="004A1E5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tcs </w:t>
      </w:r>
      <w:r w:rsidR="00E07A0D"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134ADAD3" w14:textId="39B98314" w:rsidR="00F11569" w:rsidRPr="00052C32" w:rsidRDefault="00F11569" w:rsidP="003170D7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7B10A423" w14:textId="0207A33F" w:rsidR="009F792B" w:rsidRPr="009E495D" w:rsidRDefault="00E21D3C" w:rsidP="00824E39">
      <w:pPr>
        <w:pStyle w:val="ListParagraph"/>
        <w:numPr>
          <w:ilvl w:val="0"/>
          <w:numId w:val="1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Change the version</w:t>
      </w:r>
      <w:r w:rsidR="009E495D">
        <w:rPr>
          <w:sz w:val="18"/>
          <w:szCs w:val="18"/>
        </w:rPr>
        <w:t>.  This command triggers the following actions:</w:t>
      </w:r>
    </w:p>
    <w:p w14:paraId="28610F8A" w14:textId="5EC4DCD5" w:rsidR="00F11569" w:rsidRPr="00F1156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A </w:t>
      </w:r>
      <w:r w:rsidR="00F11569">
        <w:rPr>
          <w:sz w:val="18"/>
          <w:szCs w:val="18"/>
        </w:rPr>
        <w:t xml:space="preserve">Git </w:t>
      </w:r>
      <w:r>
        <w:rPr>
          <w:sz w:val="18"/>
          <w:szCs w:val="18"/>
        </w:rPr>
        <w:t>pull request to GitHub to ensure that the loc</w:t>
      </w:r>
      <w:r w:rsidR="00B714B9">
        <w:rPr>
          <w:sz w:val="18"/>
          <w:szCs w:val="18"/>
        </w:rPr>
        <w:t>al</w:t>
      </w:r>
      <w:r w:rsidR="00F11569">
        <w:rPr>
          <w:sz w:val="18"/>
          <w:szCs w:val="18"/>
        </w:rPr>
        <w:t xml:space="preserve"> Git repository is up-to-date;</w:t>
      </w:r>
    </w:p>
    <w:p w14:paraId="35972232" w14:textId="701BC18B" w:rsidR="009E495D" w:rsidRPr="009D7488" w:rsidRDefault="00F11569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A Git checkout to</w:t>
      </w:r>
      <w:r w:rsidR="00B714B9">
        <w:rPr>
          <w:sz w:val="18"/>
          <w:szCs w:val="18"/>
        </w:rPr>
        <w:t xml:space="preserve"> branch v1.4.</w:t>
      </w:r>
    </w:p>
    <w:p w14:paraId="20EAB8EE" w14:textId="5DFF8912" w:rsidR="009D7488" w:rsidRPr="00824E3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9793C">
        <w:rPr>
          <w:sz w:val="18"/>
          <w:szCs w:val="18"/>
        </w:rPr>
        <w:t xml:space="preserve">new </w:t>
      </w:r>
      <w:r>
        <w:rPr>
          <w:sz w:val="18"/>
          <w:szCs w:val="18"/>
        </w:rPr>
        <w:t>version number is recorded locally.</w:t>
      </w:r>
      <w:r>
        <w:rPr>
          <w:sz w:val="18"/>
          <w:szCs w:val="18"/>
        </w:rPr>
        <w:br/>
      </w:r>
    </w:p>
    <w:p w14:paraId="005CAE48" w14:textId="77777777" w:rsidR="00A55A20" w:rsidRPr="00A55A20" w:rsidRDefault="00A55A20" w:rsidP="00A55A20">
      <w:pPr>
        <w:pStyle w:val="ListParagraph"/>
        <w:numPr>
          <w:ilvl w:val="0"/>
          <w:numId w:val="17"/>
        </w:numPr>
      </w:pPr>
      <w:r>
        <w:rPr>
          <w:sz w:val="18"/>
          <w:szCs w:val="18"/>
        </w:rPr>
        <w:t>Shuts down all containers.</w:t>
      </w:r>
    </w:p>
    <w:p w14:paraId="6BC5361F" w14:textId="3DE140BB" w:rsidR="00B739EC" w:rsidRPr="00B739EC" w:rsidRDefault="00A55A20" w:rsidP="00A55A20">
      <w:pPr>
        <w:pStyle w:val="ListParagraph"/>
        <w:numPr>
          <w:ilvl w:val="0"/>
          <w:numId w:val="17"/>
        </w:numPr>
      </w:pPr>
      <w:r w:rsidRPr="00A55A20">
        <w:rPr>
          <w:sz w:val="18"/>
          <w:szCs w:val="18"/>
        </w:rPr>
        <w:t>Triggers a pull from the Docker Hub to download version v1.4 of the TCS image.  Once complete, then the TCS containers startup.</w:t>
      </w:r>
    </w:p>
    <w:p w14:paraId="69ED3E28" w14:textId="0183D063" w:rsidR="00DB5C06" w:rsidRDefault="004779CE" w:rsidP="00F9728C">
      <w:pPr>
        <w:pStyle w:val="Heading2"/>
      </w:pPr>
      <w:bookmarkStart w:id="37" w:name="_Toc473363613"/>
      <w:r>
        <w:t xml:space="preserve">Postgres </w:t>
      </w:r>
      <w:r w:rsidR="00141600">
        <w:t>Management</w:t>
      </w:r>
      <w:bookmarkEnd w:id="37"/>
    </w:p>
    <w:p w14:paraId="3B77EA70" w14:textId="4184830B" w:rsidR="00141600" w:rsidRDefault="00141600" w:rsidP="00B93011">
      <w:r>
        <w:t xml:space="preserve">The TCS runs with 2 </w:t>
      </w:r>
      <w:r w:rsidR="00A67ACD">
        <w:t xml:space="preserve">Postgres </w:t>
      </w:r>
      <w:r>
        <w:t xml:space="preserve">containers, </w:t>
      </w:r>
      <w:r w:rsidR="00835811">
        <w:t>pg1</w:t>
      </w:r>
      <w:r w:rsidR="00A67ACD">
        <w:t xml:space="preserve"> and </w:t>
      </w:r>
      <w:r w:rsidR="00835811">
        <w:t>pg2</w:t>
      </w:r>
      <w:r w:rsidR="000D3EE9">
        <w:t>, however, as will be seen, only pg1 is required to be permanently available.</w:t>
      </w:r>
    </w:p>
    <w:p w14:paraId="7ED744B4" w14:textId="4CD520F3" w:rsidR="000F7A6B" w:rsidRDefault="000F7A6B" w:rsidP="00141600">
      <w:pPr>
        <w:pStyle w:val="ListParagraph"/>
        <w:numPr>
          <w:ilvl w:val="0"/>
          <w:numId w:val="18"/>
        </w:numPr>
      </w:pPr>
      <w:r>
        <w:t xml:space="preserve">Instructions </w:t>
      </w:r>
      <w:r w:rsidR="00966863">
        <w:t xml:space="preserve">to do a </w:t>
      </w:r>
      <w:r w:rsidR="000D3EE9">
        <w:t>rollback recovery to pg1.</w:t>
      </w:r>
    </w:p>
    <w:p w14:paraId="476BAAEB" w14:textId="3922E702" w:rsidR="003C27B6" w:rsidRDefault="003C27B6" w:rsidP="003C27B6">
      <w:pPr>
        <w:pStyle w:val="ListParagraph"/>
        <w:numPr>
          <w:ilvl w:val="0"/>
          <w:numId w:val="18"/>
        </w:numPr>
      </w:pPr>
      <w:r>
        <w:t xml:space="preserve">Instructions to do a </w:t>
      </w:r>
      <w:r w:rsidR="00C13912">
        <w:t xml:space="preserve">standby recovery to pg2.  </w:t>
      </w:r>
      <w:r w:rsidR="00C25DAE">
        <w:t xml:space="preserve">Once the standby recovery is complete, the user is able to </w:t>
      </w:r>
      <w:r>
        <w:t xml:space="preserve">investigate the state </w:t>
      </w:r>
      <w:r w:rsidR="00F9728C">
        <w:t xml:space="preserve">of </w:t>
      </w:r>
      <w:r>
        <w:t xml:space="preserve">the database at some previous point in time without disturbing the </w:t>
      </w:r>
      <w:r w:rsidR="000E0D57">
        <w:t>TCS</w:t>
      </w:r>
      <w:r>
        <w:t>.</w:t>
      </w:r>
      <w:r w:rsidR="00C25DAE">
        <w:t xml:space="preserve">  </w:t>
      </w:r>
    </w:p>
    <w:p w14:paraId="72CBEF1C" w14:textId="161C82F4" w:rsidR="00670679" w:rsidRDefault="003046C9" w:rsidP="00670679">
      <w:r>
        <w:t>T</w:t>
      </w:r>
      <w:r w:rsidR="00670679">
        <w:t>he following table</w:t>
      </w:r>
      <w:r w:rsidR="00BA6A77">
        <w:t xml:space="preserve"> that summarizes valid </w:t>
      </w:r>
      <w:r w:rsidR="00A6397E">
        <w:t>Postgres container states.</w:t>
      </w:r>
    </w:p>
    <w:p w14:paraId="0BF07C42" w14:textId="77777777" w:rsidR="009A6134" w:rsidRDefault="009A6134" w:rsidP="00670679"/>
    <w:tbl>
      <w:tblPr>
        <w:tblStyle w:val="PlainTable5"/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843"/>
      </w:tblGrid>
      <w:tr w:rsidR="00A6397E" w14:paraId="653FAF2F" w14:textId="77777777" w:rsidTr="0008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E71884" w14:textId="3F126D41" w:rsidR="00A6397E" w:rsidRPr="009A6134" w:rsidRDefault="00C25DAE" w:rsidP="009A613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Postgres</w:t>
            </w:r>
            <w:r>
              <w:rPr>
                <w:b/>
                <w:i w:val="0"/>
              </w:rPr>
              <w:br/>
              <w:t>Container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E1687" w14:textId="1150AC1A" w:rsidR="00A6397E" w:rsidRPr="009A6134" w:rsidRDefault="00A6397E" w:rsidP="009A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9A6134">
              <w:rPr>
                <w:b/>
                <w:i w:val="0"/>
              </w:rPr>
              <w:t>Docker State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AFEB0" w14:textId="77110F26" w:rsidR="00A6397E" w:rsidRPr="009A6134" w:rsidRDefault="00A6397E" w:rsidP="00BA6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Listening Port</w:t>
            </w:r>
          </w:p>
        </w:tc>
      </w:tr>
      <w:tr w:rsidR="00A6397E" w14:paraId="06E02D15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FE10EC" w14:textId="40AA986F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pg1</w:t>
            </w:r>
          </w:p>
        </w:tc>
        <w:tc>
          <w:tcPr>
            <w:tcW w:w="1725" w:type="dxa"/>
            <w:shd w:val="clear" w:color="auto" w:fill="auto"/>
          </w:tcPr>
          <w:p w14:paraId="573079C9" w14:textId="62A46D32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shd w:val="clear" w:color="auto" w:fill="auto"/>
          </w:tcPr>
          <w:p w14:paraId="61E0CCDE" w14:textId="647F174B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5432</w:t>
            </w:r>
          </w:p>
        </w:tc>
      </w:tr>
      <w:tr w:rsidR="00A6397E" w14:paraId="3ECD39EC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right w:val="single" w:sz="4" w:space="0" w:color="auto"/>
            </w:tcBorders>
          </w:tcPr>
          <w:p w14:paraId="060FB916" w14:textId="72AE5FB5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tcBorders>
              <w:right w:val="single" w:sz="4" w:space="0" w:color="auto"/>
            </w:tcBorders>
            <w:shd w:val="clear" w:color="auto" w:fill="auto"/>
          </w:tcPr>
          <w:p w14:paraId="79DC0626" w14:textId="25DC0DF2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70C0"/>
              </w:rPr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AA1" w14:textId="7AAD8710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5433</w:t>
            </w:r>
          </w:p>
        </w:tc>
      </w:tr>
      <w:tr w:rsidR="00A6397E" w14:paraId="09F4E2B4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E3DAB5" w14:textId="12DB003D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612E425D" w14:textId="243C2F00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stopped</w:t>
            </w:r>
          </w:p>
        </w:tc>
        <w:tc>
          <w:tcPr>
            <w:tcW w:w="1843" w:type="dxa"/>
            <w:shd w:val="clear" w:color="auto" w:fill="auto"/>
          </w:tcPr>
          <w:p w14:paraId="20EC9559" w14:textId="6E236373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97E" w14:paraId="66549019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7D2325" w14:textId="30BFCE0C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12A9BE67" w14:textId="474A2513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gone</w:t>
            </w:r>
          </w:p>
        </w:tc>
        <w:tc>
          <w:tcPr>
            <w:tcW w:w="1843" w:type="dxa"/>
            <w:shd w:val="clear" w:color="auto" w:fill="auto"/>
          </w:tcPr>
          <w:p w14:paraId="5D80D988" w14:textId="5EAB2FAE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8DBCC68" w14:textId="77777777" w:rsidR="00670679" w:rsidRDefault="00670679" w:rsidP="00670679"/>
    <w:p w14:paraId="2F2D75DE" w14:textId="01867679" w:rsidR="00A6397E" w:rsidRDefault="00FF29B8" w:rsidP="00D92D26">
      <w:r>
        <w:t>I</w:t>
      </w:r>
      <w:r w:rsidR="00C25DAE">
        <w:t xml:space="preserve">t is completely valid for </w:t>
      </w:r>
      <w:r w:rsidR="00C25DAE" w:rsidRPr="00C25DAE">
        <w:t>pg2</w:t>
      </w:r>
      <w:r w:rsidR="00A6397E">
        <w:t xml:space="preserve"> to not be </w:t>
      </w:r>
      <w:r w:rsidR="00A6397E" w:rsidRPr="00D92D26">
        <w:rPr>
          <w:smallCaps/>
          <w:color w:val="0070C0"/>
        </w:rPr>
        <w:t xml:space="preserve">running </w:t>
      </w:r>
      <w:r w:rsidR="00A6397E">
        <w:t xml:space="preserve">in the sense of a Docker container running.  In fact, </w:t>
      </w:r>
      <w:r w:rsidR="00C25DAE" w:rsidRPr="00C25DAE">
        <w:t>pg2</w:t>
      </w:r>
      <w:r w:rsidR="00C25DAE">
        <w:t xml:space="preserve"> </w:t>
      </w:r>
      <w:r w:rsidR="00A6397E">
        <w:t xml:space="preserve">may not even exist </w:t>
      </w:r>
      <w:r>
        <w:t>(</w:t>
      </w:r>
      <w:r w:rsidRPr="00D92D26">
        <w:rPr>
          <w:smallCaps/>
          <w:color w:val="0070C0"/>
        </w:rPr>
        <w:t>gone</w:t>
      </w:r>
      <w:r>
        <w:t xml:space="preserve">) </w:t>
      </w:r>
      <w:r w:rsidR="00A6397E">
        <w:t>in the Docker sense.</w:t>
      </w:r>
    </w:p>
    <w:p w14:paraId="665F344D" w14:textId="235FEFDC" w:rsidR="00D92D26" w:rsidRDefault="00D92D26" w:rsidP="00D92D26">
      <w:r>
        <w:t xml:space="preserve">Whatever the state of pg2, it does not </w:t>
      </w:r>
      <w:r w:rsidR="00F23350">
        <w:t>interfere</w:t>
      </w:r>
      <w:r>
        <w:t xml:space="preserve"> or otherwise impact </w:t>
      </w:r>
      <w:r w:rsidR="00F23350">
        <w:t xml:space="preserve">other </w:t>
      </w:r>
      <w:r>
        <w:t>TCS functionality.</w:t>
      </w:r>
    </w:p>
    <w:p w14:paraId="50934F9C" w14:textId="51238431" w:rsidR="00F3220F" w:rsidRDefault="009D2C26" w:rsidP="00F3220F">
      <w:pPr>
        <w:pStyle w:val="Heading3"/>
      </w:pPr>
      <w:bookmarkStart w:id="38" w:name="_Toc473363614"/>
      <w:r>
        <w:t>Rollback</w:t>
      </w:r>
      <w:r w:rsidR="00D32EED">
        <w:t xml:space="preserve"> Recovery</w:t>
      </w:r>
      <w:bookmarkEnd w:id="38"/>
    </w:p>
    <w:p w14:paraId="185BC94F" w14:textId="1C18C4B3" w:rsidR="00D32EED" w:rsidRDefault="005D2929" w:rsidP="00D32EED">
      <w:r>
        <w:t xml:space="preserve">Rollback </w:t>
      </w:r>
      <w:r w:rsidR="00D8456C">
        <w:t xml:space="preserve">recovery is a database </w:t>
      </w:r>
      <w:r>
        <w:t xml:space="preserve">recovery to </w:t>
      </w:r>
      <w:r w:rsidR="00D8456C">
        <w:t>pg1.  Once the re</w:t>
      </w:r>
      <w:r w:rsidR="00655869">
        <w:t xml:space="preserve">covery is complete, normal TCS operations </w:t>
      </w:r>
      <w:r w:rsidR="001712AF">
        <w:t>are restored</w:t>
      </w:r>
      <w:r w:rsidR="00E4757F">
        <w:t>.</w:t>
      </w:r>
      <w:r w:rsidR="005E35FC">
        <w:t xml:space="preserve">  D</w:t>
      </w:r>
      <w:r w:rsidR="001712AF">
        <w:t xml:space="preserve">ata loss is </w:t>
      </w:r>
      <w:r w:rsidR="003B6D35">
        <w:t>likely</w:t>
      </w:r>
      <w:r w:rsidR="001712AF">
        <w:t>.</w:t>
      </w:r>
    </w:p>
    <w:p w14:paraId="4FEB936F" w14:textId="73E0CC9E" w:rsidR="001712AF" w:rsidRDefault="001712AF" w:rsidP="001712AF">
      <w:r>
        <w:t xml:space="preserve">Before proceeding, the user </w:t>
      </w:r>
      <w:r w:rsidR="00E4757F">
        <w:t xml:space="preserve">will need the </w:t>
      </w:r>
      <w:r>
        <w:t>following:</w:t>
      </w:r>
    </w:p>
    <w:p w14:paraId="1B83D827" w14:textId="617707C3" w:rsidR="001712AF" w:rsidRDefault="00860189" w:rsidP="001712AF">
      <w:pPr>
        <w:pStyle w:val="ListParagraph"/>
        <w:numPr>
          <w:ilvl w:val="0"/>
          <w:numId w:val="24"/>
        </w:numPr>
      </w:pPr>
      <w:r>
        <w:t>T</w:t>
      </w:r>
      <w:r w:rsidR="001712AF">
        <w:t>he user will need to be awar</w:t>
      </w:r>
      <w:r w:rsidR="00292468">
        <w:t xml:space="preserve">e of which </w:t>
      </w:r>
      <w:r w:rsidR="001712AF">
        <w:t xml:space="preserve">backups </w:t>
      </w:r>
      <w:r w:rsidR="005E35FC">
        <w:t>are available.</w:t>
      </w:r>
      <w:r w:rsidR="00632133">
        <w:t xml:space="preserve">  </w:t>
      </w:r>
      <w:r w:rsidR="009D2C26">
        <w:t>The list of available backup_ids is</w:t>
      </w:r>
      <w:r w:rsidR="00632133">
        <w:t xml:space="preserve"> provided by executing the following command:</w:t>
      </w:r>
    </w:p>
    <w:p w14:paraId="63DF5255" w14:textId="65C77AC6" w:rsidR="00632133" w:rsidRPr="00632133" w:rsidRDefault="00632133" w:rsidP="00632133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632133">
        <w:rPr>
          <w:rFonts w:ascii="Courier New" w:hAnsi="Courier New" w:cs="Courier New"/>
          <w:b/>
          <w:bCs/>
          <w:sz w:val="18"/>
          <w:szCs w:val="18"/>
        </w:rPr>
        <w:t>$ list-backups</w:t>
      </w:r>
    </w:p>
    <w:p w14:paraId="69231BC5" w14:textId="6F855DDF" w:rsidR="00374AC8" w:rsidRDefault="00374AC8" w:rsidP="00374AC8">
      <w:pPr>
        <w:ind w:left="720"/>
      </w:pPr>
      <w:r>
        <w:lastRenderedPageBreak/>
        <w:t xml:space="preserve">The barman backup_id </w:t>
      </w:r>
      <w:r w:rsidR="00D2153E">
        <w:t>must be</w:t>
      </w:r>
      <w:r>
        <w:t xml:space="preserve"> the latest backup taken BEFORE the target time.</w:t>
      </w:r>
    </w:p>
    <w:p w14:paraId="2C0806F1" w14:textId="3E635DD0" w:rsidR="001712AF" w:rsidRDefault="00D37A4D" w:rsidP="001712AF">
      <w:pPr>
        <w:pStyle w:val="ListParagraph"/>
        <w:numPr>
          <w:ilvl w:val="0"/>
          <w:numId w:val="24"/>
        </w:numPr>
      </w:pPr>
      <w:r>
        <w:t xml:space="preserve">If the rollback </w:t>
      </w:r>
      <w:r w:rsidR="00E4757F">
        <w:t xml:space="preserve">is to be </w:t>
      </w:r>
      <w:r>
        <w:t>up to a spe</w:t>
      </w:r>
      <w:r w:rsidR="00D2153E">
        <w:t xml:space="preserve">cific time, then </w:t>
      </w:r>
      <w:r>
        <w:t xml:space="preserve">the target </w:t>
      </w:r>
      <w:r w:rsidR="001712AF">
        <w:t xml:space="preserve">time </w:t>
      </w:r>
      <w:r w:rsidR="00D2153E">
        <w:t xml:space="preserve">is required and is </w:t>
      </w:r>
      <w:r w:rsidR="001712AF">
        <w:t>expressed in ISO format, e.g. “2016-12-15T12:00:00”.  Target time is optional.</w:t>
      </w:r>
    </w:p>
    <w:p w14:paraId="434AFEBF" w14:textId="70B73A49" w:rsidR="001712AF" w:rsidRDefault="00A36896" w:rsidP="001712AF">
      <w:r>
        <w:t>Armed with this information, the</w:t>
      </w:r>
      <w:r w:rsidR="001712AF">
        <w:t xml:space="preserve"> user can now proceed with the recovery</w:t>
      </w:r>
      <w:r>
        <w:t>:</w:t>
      </w:r>
    </w:p>
    <w:p w14:paraId="6FD7B2B4" w14:textId="5B30460D" w:rsidR="00655869" w:rsidRDefault="001712AF" w:rsidP="00B40B9F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>
        <w:rPr>
          <w:rFonts w:ascii="Courier New" w:hAnsi="Courier New" w:cs="Courier New"/>
          <w:b/>
          <w:bCs/>
          <w:sz w:val="18"/>
          <w:szCs w:val="18"/>
        </w:rPr>
        <w:t>p</w:t>
      </w:r>
      <w:r w:rsidR="00C33894">
        <w:rPr>
          <w:rFonts w:ascii="Courier New" w:hAnsi="Courier New" w:cs="Courier New"/>
          <w:b/>
          <w:bCs/>
          <w:sz w:val="18"/>
          <w:szCs w:val="18"/>
        </w:rPr>
        <w:t>g-</w:t>
      </w:r>
      <w:r w:rsidR="00E4757F">
        <w:rPr>
          <w:rFonts w:ascii="Courier New" w:hAnsi="Courier New" w:cs="Courier New"/>
          <w:b/>
          <w:bCs/>
          <w:sz w:val="18"/>
          <w:szCs w:val="18"/>
        </w:rPr>
        <w:t>rollback-</w:t>
      </w:r>
      <w:r w:rsidR="00C33894">
        <w:rPr>
          <w:rFonts w:ascii="Courier New" w:hAnsi="Courier New" w:cs="Courier New"/>
          <w:b/>
          <w:bCs/>
          <w:sz w:val="18"/>
          <w:szCs w:val="18"/>
        </w:rPr>
        <w:t>recovery</w:t>
      </w:r>
      <w:r w:rsidR="0029246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backup_id [target_time</w:t>
      </w:r>
      <w:r w:rsidR="00D37A4D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1577D12F" w14:textId="2FBE6FF5" w:rsidR="0010513D" w:rsidRDefault="005D2929" w:rsidP="00E0603C">
      <w:pPr>
        <w:pStyle w:val="Heading3"/>
      </w:pPr>
      <w:bookmarkStart w:id="39" w:name="_Toc473363615"/>
      <w:r>
        <w:t xml:space="preserve">Standby </w:t>
      </w:r>
      <w:r w:rsidR="0010513D">
        <w:t>Recovery</w:t>
      </w:r>
      <w:bookmarkEnd w:id="39"/>
    </w:p>
    <w:p w14:paraId="5E8E0F48" w14:textId="1795EDBD" w:rsidR="00470D78" w:rsidRDefault="00470D78" w:rsidP="00470D78">
      <w:r>
        <w:t xml:space="preserve">There may come a time when it would be useful to investigate the state of the database at some point in the past.  </w:t>
      </w:r>
      <w:r w:rsidR="009224C4">
        <w:t xml:space="preserve">Standby recovery is very similar to a rollback recovery except that the target of the recovery is to </w:t>
      </w:r>
      <w:r w:rsidR="00292468">
        <w:t>pg2.</w:t>
      </w:r>
    </w:p>
    <w:p w14:paraId="365BFC70" w14:textId="020CA1AC" w:rsidR="00EE6670" w:rsidRDefault="00EE6670" w:rsidP="00292468">
      <w:r>
        <w:t>The consequence of a</w:t>
      </w:r>
      <w:r w:rsidR="00912CA7">
        <w:t>n</w:t>
      </w:r>
      <w:r>
        <w:t xml:space="preserve"> investigation </w:t>
      </w:r>
      <w:r w:rsidR="008E1615">
        <w:t xml:space="preserve">of </w:t>
      </w:r>
      <w:r w:rsidR="005454C4">
        <w:t xml:space="preserve">the </w:t>
      </w:r>
      <w:r w:rsidR="008E1615">
        <w:t>state of the</w:t>
      </w:r>
      <w:r w:rsidR="00935302">
        <w:t xml:space="preserve"> s</w:t>
      </w:r>
      <w:r w:rsidR="00935302">
        <w:t>tandby</w:t>
      </w:r>
      <w:r w:rsidR="008E1615">
        <w:t xml:space="preserve"> database could be, for example, a need to </w:t>
      </w:r>
      <w:r>
        <w:t>recover a table that should not h</w:t>
      </w:r>
      <w:r w:rsidR="009E6FEE">
        <w:t xml:space="preserve">ave </w:t>
      </w:r>
      <w:r w:rsidR="009F59C1">
        <w:t xml:space="preserve">been </w:t>
      </w:r>
      <w:r w:rsidR="009E6FEE">
        <w:t>deleted</w:t>
      </w:r>
      <w:r w:rsidR="000C1E77">
        <w:t xml:space="preserve">.  Such actions </w:t>
      </w:r>
      <w:r w:rsidR="008E1615">
        <w:t xml:space="preserve">are quite doable, </w:t>
      </w:r>
      <w:r w:rsidR="00AB2579">
        <w:t xml:space="preserve">nevertheless, the details are </w:t>
      </w:r>
      <w:r>
        <w:t xml:space="preserve">outside the </w:t>
      </w:r>
      <w:r w:rsidR="00CE5FC1">
        <w:t>scope</w:t>
      </w:r>
      <w:r>
        <w:t xml:space="preserve"> of this manual.</w:t>
      </w:r>
      <w:r w:rsidR="003B0EEB">
        <w:t xml:space="preserve">  The </w:t>
      </w:r>
      <w:r w:rsidR="005454C4">
        <w:t>reader</w:t>
      </w:r>
      <w:r w:rsidR="003B0EEB">
        <w:t xml:space="preserve"> is advised to refer to one of the many excellent Postgres references, </w:t>
      </w:r>
      <w:r w:rsidR="005454C4">
        <w:t xml:space="preserve">starting with the </w:t>
      </w:r>
      <w:r w:rsidR="002A3EDE">
        <w:t xml:space="preserve">online </w:t>
      </w:r>
      <w:hyperlink r:id="rId24" w:history="1">
        <w:r w:rsidR="002A3EDE" w:rsidRPr="002A3EDE">
          <w:rPr>
            <w:rStyle w:val="Hyperlink"/>
          </w:rPr>
          <w:t>Postgres documentation</w:t>
        </w:r>
      </w:hyperlink>
      <w:r w:rsidR="002A3EDE">
        <w:t xml:space="preserve"> itself.</w:t>
      </w:r>
    </w:p>
    <w:p w14:paraId="20C052C6" w14:textId="3AB74BA6" w:rsidR="000C1E77" w:rsidRDefault="006B204E" w:rsidP="000C1E77">
      <w:r>
        <w:t xml:space="preserve">Carrying out a </w:t>
      </w:r>
      <w:r w:rsidR="008E1615">
        <w:t xml:space="preserve">standby recovery </w:t>
      </w:r>
      <w:r>
        <w:t xml:space="preserve">is very </w:t>
      </w:r>
      <w:r w:rsidR="008E1615">
        <w:t xml:space="preserve">similar </w:t>
      </w:r>
      <w:r>
        <w:t>to a rollback r</w:t>
      </w:r>
      <w:r w:rsidR="00131FE7">
        <w:t>ecovery.  Please refer to the previous section for instructions on how to identify the appropriate backup_id and target time (the latter is optional).</w:t>
      </w:r>
    </w:p>
    <w:p w14:paraId="4DBEB712" w14:textId="245E9450" w:rsidR="00C712A6" w:rsidRDefault="00C712A6" w:rsidP="0010513D">
      <w:r>
        <w:t>The user can now proceed with the recovery as follows:</w:t>
      </w:r>
    </w:p>
    <w:p w14:paraId="0C89F863" w14:textId="6965A74F" w:rsidR="00BC51BE" w:rsidRPr="00935302" w:rsidRDefault="00C712A6" w:rsidP="00935302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65143B">
        <w:rPr>
          <w:rFonts w:ascii="Courier New" w:hAnsi="Courier New" w:cs="Courier New"/>
          <w:b/>
          <w:bCs/>
          <w:sz w:val="18"/>
          <w:szCs w:val="18"/>
        </w:rPr>
        <w:t>p</w:t>
      </w:r>
      <w:r w:rsidR="006B204E">
        <w:rPr>
          <w:rFonts w:ascii="Courier New" w:hAnsi="Courier New" w:cs="Courier New"/>
          <w:b/>
          <w:bCs/>
          <w:sz w:val="18"/>
          <w:szCs w:val="18"/>
        </w:rPr>
        <w:t>g-standby-recovery</w:t>
      </w:r>
      <w:r w:rsidR="0093530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E7CB6">
        <w:rPr>
          <w:rFonts w:ascii="Courier New" w:hAnsi="Courier New" w:cs="Courier New"/>
          <w:b/>
          <w:bCs/>
          <w:sz w:val="18"/>
          <w:szCs w:val="18"/>
        </w:rPr>
        <w:t xml:space="preserve">backup_id </w:t>
      </w:r>
      <w:r w:rsidR="006B204E">
        <w:rPr>
          <w:rFonts w:ascii="Courier New" w:hAnsi="Courier New" w:cs="Courier New"/>
          <w:b/>
          <w:bCs/>
          <w:sz w:val="18"/>
          <w:szCs w:val="18"/>
        </w:rPr>
        <w:t>[</w:t>
      </w:r>
      <w:r w:rsidR="000E7CB6">
        <w:rPr>
          <w:rFonts w:ascii="Courier New" w:hAnsi="Courier New" w:cs="Courier New"/>
          <w:b/>
          <w:bCs/>
          <w:sz w:val="18"/>
          <w:szCs w:val="18"/>
        </w:rPr>
        <w:t>target_time</w:t>
      </w:r>
      <w:r w:rsidR="006B204E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3B9BE1D3" w14:textId="2EC9EB3C" w:rsidR="001E1FC0" w:rsidRDefault="001E1FC0" w:rsidP="001E1FC0">
      <w:pPr>
        <w:pStyle w:val="Heading1"/>
      </w:pPr>
      <w:bookmarkStart w:id="40" w:name="_Ref473356673"/>
      <w:bookmarkStart w:id="41" w:name="_Ref473356690"/>
      <w:bookmarkStart w:id="42" w:name="_Ref473356702"/>
      <w:bookmarkStart w:id="43" w:name="_Toc473363616"/>
      <w:r w:rsidRPr="000B58FD">
        <w:lastRenderedPageBreak/>
        <w:t>Environment Variables</w:t>
      </w:r>
      <w:bookmarkEnd w:id="40"/>
      <w:bookmarkEnd w:id="41"/>
      <w:bookmarkEnd w:id="42"/>
      <w:bookmarkEnd w:id="43"/>
      <w:r>
        <w:t xml:space="preserve">  </w:t>
      </w:r>
    </w:p>
    <w:p w14:paraId="6633289A" w14:textId="6FC33153" w:rsidR="001E1FC0" w:rsidRDefault="001E1FC0" w:rsidP="001E1FC0">
      <w:r>
        <w:t>This section details the various environment variables that need to be set for the TCS to be fully functional.  These</w:t>
      </w:r>
      <w:r w:rsidR="00EE570A">
        <w:t xml:space="preserve"> variables are set in the file ~/tcs</w:t>
      </w:r>
      <w:r>
        <w:t xml:space="preserve">/env_PROD/env.  </w:t>
      </w:r>
    </w:p>
    <w:p w14:paraId="2A3A6D9C" w14:textId="77777777" w:rsidR="001E1FC0" w:rsidRDefault="001E1FC0" w:rsidP="001E1FC0">
      <w:pPr>
        <w:spacing w:after="0"/>
        <w:rPr>
          <w:sz w:val="18"/>
          <w:szCs w:val="18"/>
        </w:rPr>
      </w:pPr>
    </w:p>
    <w:p w14:paraId="1E8BD430" w14:textId="77777777" w:rsidR="001E1FC0" w:rsidRPr="000109E3" w:rsidRDefault="001E1FC0" w:rsidP="001E1FC0">
      <w:pPr>
        <w:spacing w:after="0"/>
        <w:rPr>
          <w:b/>
          <w:sz w:val="18"/>
          <w:szCs w:val="18"/>
        </w:rPr>
      </w:pPr>
      <w:r w:rsidRPr="000109E3">
        <w:rPr>
          <w:b/>
          <w:sz w:val="18"/>
          <w:szCs w:val="18"/>
        </w:rPr>
        <w:t>BACKUP_SCHEDULE</w:t>
      </w:r>
    </w:p>
    <w:p w14:paraId="7557F918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backup schedule defines a typical </w:t>
      </w:r>
      <w:proofErr w:type="spellStart"/>
      <w:r>
        <w:rPr>
          <w:sz w:val="18"/>
          <w:szCs w:val="18"/>
        </w:rPr>
        <w:t>cron</w:t>
      </w:r>
      <w:proofErr w:type="spellEnd"/>
      <w:r>
        <w:rPr>
          <w:sz w:val="18"/>
          <w:szCs w:val="18"/>
        </w:rPr>
        <w:t xml:space="preserve">-like string pattern (e.g. ‘* * 2 * * 1’ triggers a backup at 2:00am every Monday.  Further documentation can be found here: </w:t>
      </w:r>
      <w:hyperlink r:id="rId25" w:history="1">
        <w:r w:rsidRPr="00D559F1">
          <w:rPr>
            <w:rStyle w:val="Hyperlink"/>
            <w:sz w:val="18"/>
            <w:szCs w:val="18"/>
          </w:rPr>
          <w:t>https://www.npmjs.com/package/node-schedule</w:t>
        </w:r>
      </w:hyperlink>
    </w:p>
    <w:p w14:paraId="4F7D9F49" w14:textId="77777777" w:rsidR="001E1FC0" w:rsidRDefault="001E1FC0" w:rsidP="001E1FC0">
      <w:pPr>
        <w:spacing w:after="0"/>
        <w:rPr>
          <w:sz w:val="18"/>
          <w:szCs w:val="18"/>
        </w:rPr>
      </w:pPr>
    </w:p>
    <w:p w14:paraId="21548964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DB_QUEUE</w:t>
      </w:r>
      <w:r>
        <w:rPr>
          <w:rFonts w:ascii="Courier" w:hAnsi="Courier"/>
          <w:sz w:val="18"/>
          <w:szCs w:val="18"/>
        </w:rPr>
        <w:t>=PROD_DB_QUEUE</w:t>
      </w:r>
    </w:p>
    <w:p w14:paraId="43277AF3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SMDR records destined for the database.  This value must not be changed.</w:t>
      </w:r>
    </w:p>
    <w:p w14:paraId="5CA489E7" w14:textId="77777777" w:rsidR="001E1FC0" w:rsidRDefault="001E1FC0" w:rsidP="001E1FC0">
      <w:pPr>
        <w:spacing w:after="0"/>
        <w:rPr>
          <w:sz w:val="18"/>
          <w:szCs w:val="18"/>
        </w:rPr>
      </w:pPr>
    </w:p>
    <w:p w14:paraId="2F4B43A7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DATABASE</w:t>
      </w:r>
      <w:r>
        <w:rPr>
          <w:rFonts w:ascii="Courier" w:hAnsi="Courier"/>
          <w:sz w:val="18"/>
          <w:szCs w:val="18"/>
        </w:rPr>
        <w:t>=prod</w:t>
      </w:r>
    </w:p>
    <w:p w14:paraId="756F243F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Postgres database that records Production database activity.  This value must not be changed.</w:t>
      </w:r>
    </w:p>
    <w:p w14:paraId="43CE8923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656FCE1E" w14:textId="6E684F83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 w:rsidRPr="00F55233">
        <w:rPr>
          <w:b/>
          <w:sz w:val="18"/>
          <w:szCs w:val="18"/>
        </w:rPr>
        <w:t>MANGLE_SOURCE</w:t>
      </w:r>
      <w:r>
        <w:rPr>
          <w:b/>
          <w:sz w:val="18"/>
          <w:szCs w:val="18"/>
        </w:rPr>
        <w:t>_DIRECTORY</w:t>
      </w:r>
      <w:r w:rsidR="00EE570A">
        <w:rPr>
          <w:rFonts w:ascii="Courier" w:hAnsi="Courier"/>
          <w:sz w:val="18"/>
          <w:szCs w:val="18"/>
        </w:rPr>
        <w:t>=</w:t>
      </w:r>
      <w:r w:rsidRPr="001A481F">
        <w:rPr>
          <w:rFonts w:ascii="Courier" w:hAnsi="Courier"/>
          <w:sz w:val="18"/>
          <w:szCs w:val="18"/>
        </w:rPr>
        <w:t>/smdr-data/smdr-data-002</w:t>
      </w:r>
    </w:p>
    <w:p w14:paraId="0D433CE7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reads files from this directory.</w:t>
      </w:r>
    </w:p>
    <w:p w14:paraId="678421E3" w14:textId="77777777" w:rsidR="001E1FC0" w:rsidRPr="001A481F" w:rsidRDefault="001E1FC0" w:rsidP="001E1FC0">
      <w:pPr>
        <w:spacing w:after="0"/>
        <w:rPr>
          <w:sz w:val="18"/>
          <w:szCs w:val="18"/>
        </w:rPr>
      </w:pPr>
    </w:p>
    <w:p w14:paraId="5314F59A" w14:textId="7713EFB4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MANGLE_TARGET</w:t>
      </w:r>
      <w:r>
        <w:rPr>
          <w:b/>
          <w:sz w:val="18"/>
          <w:szCs w:val="18"/>
        </w:rPr>
        <w:t>_DIRECTORY</w:t>
      </w:r>
      <w:r w:rsidR="00EE570A"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/smdr-data/smdr-data-003</w:t>
      </w:r>
    </w:p>
    <w:p w14:paraId="661F039D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outputs files to this directory.</w:t>
      </w:r>
    </w:p>
    <w:p w14:paraId="4EDA82BD" w14:textId="77777777" w:rsidR="001E1FC0" w:rsidRDefault="001E1FC0" w:rsidP="001E1FC0">
      <w:pPr>
        <w:spacing w:after="0"/>
        <w:rPr>
          <w:sz w:val="18"/>
          <w:szCs w:val="18"/>
        </w:rPr>
      </w:pPr>
    </w:p>
    <w:p w14:paraId="2FD66B4C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 w:rsidRPr="004D00E3">
        <w:rPr>
          <w:b/>
          <w:sz w:val="18"/>
          <w:szCs w:val="18"/>
        </w:rPr>
        <w:t>PBX</w:t>
      </w:r>
      <w:r>
        <w:rPr>
          <w:b/>
          <w:sz w:val="18"/>
          <w:szCs w:val="18"/>
        </w:rPr>
        <w:t>_SIMULATOR_TRANSMIT_INTERVAL</w:t>
      </w:r>
      <w:r w:rsidRPr="004D00E3">
        <w:rPr>
          <w:rFonts w:ascii="Courier" w:hAnsi="Courier"/>
          <w:sz w:val="18"/>
          <w:szCs w:val="18"/>
        </w:rPr>
        <w:t>=1000</w:t>
      </w:r>
    </w:p>
    <w:p w14:paraId="4FDF05E5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During a period of pre-operations, the PBX Simulator will be useful for acceptance testing.  This variable allows the user to define a fixed period between transmissions of test SMDR messages sent by the PBX Simulator to the TCS.</w:t>
      </w:r>
    </w:p>
    <w:p w14:paraId="39F20061" w14:textId="77777777" w:rsidR="001E1FC0" w:rsidRPr="004D00E3" w:rsidRDefault="001E1FC0" w:rsidP="001E1FC0">
      <w:pPr>
        <w:spacing w:after="0"/>
        <w:rPr>
          <w:b/>
          <w:sz w:val="18"/>
          <w:szCs w:val="18"/>
        </w:rPr>
      </w:pPr>
    </w:p>
    <w:p w14:paraId="14054915" w14:textId="5C174054" w:rsidR="001E1FC0" w:rsidRDefault="001E1FC0" w:rsidP="001E1FC0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PBX</w:t>
      </w:r>
      <w:r w:rsidRPr="00F55233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SIMULATOR_</w:t>
      </w:r>
      <w:r w:rsidRPr="00F55233">
        <w:rPr>
          <w:b/>
          <w:sz w:val="18"/>
          <w:szCs w:val="18"/>
        </w:rPr>
        <w:t>SOURCE_DIRECTORY</w:t>
      </w:r>
      <w:r w:rsidR="00EE570A"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/smdr-data/smdr-data-002</w:t>
      </w:r>
    </w:p>
    <w:p w14:paraId="29D154D1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directory from which the PBX-simulator expects to find smdr-files.</w:t>
      </w:r>
    </w:p>
    <w:p w14:paraId="5EAF9384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0BB14A2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TCS_PORT</w:t>
      </w:r>
      <w:r w:rsidRPr="00FC25A8">
        <w:rPr>
          <w:rFonts w:ascii="Courier" w:hAnsi="Courier"/>
          <w:sz w:val="18"/>
          <w:szCs w:val="18"/>
        </w:rPr>
        <w:t>=3456</w:t>
      </w:r>
    </w:p>
    <w:p w14:paraId="741350FB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TCS is listening for connect attempts.</w:t>
      </w:r>
    </w:p>
    <w:p w14:paraId="2416ADFD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51D7FAE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TMS_ACTIVE</w:t>
      </w:r>
      <w:r w:rsidRPr="00FC25A8">
        <w:rPr>
          <w:rFonts w:ascii="Courier" w:hAnsi="Courier"/>
          <w:sz w:val="18"/>
          <w:szCs w:val="18"/>
        </w:rPr>
        <w:t>=1</w:t>
      </w:r>
    </w:p>
    <w:p w14:paraId="27B7F59A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As long as the TMS is required, TMS_ACTIVE should be set to 1.  Should the day come when the TMS is no longer needed, then it should be set to 0 (the TCS will need to be rebuilt).</w:t>
      </w:r>
    </w:p>
    <w:p w14:paraId="5755E20C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4CDBCAE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TMS_HOST</w:t>
      </w:r>
      <w:r w:rsidRPr="00FC25A8">
        <w:rPr>
          <w:rFonts w:ascii="Courier" w:hAnsi="Courier"/>
          <w:sz w:val="18"/>
          <w:szCs w:val="18"/>
        </w:rPr>
        <w:t>=192.168.99.100</w:t>
      </w:r>
    </w:p>
    <w:p w14:paraId="33CC1C47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host IP address where the TMS is running (note: during development, this variable will often have the same value as DOCKER_MACHINE_IP).</w:t>
      </w:r>
    </w:p>
    <w:p w14:paraId="3865AB0E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2F601B11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TMS_PORT</w:t>
      </w:r>
      <w:r w:rsidRPr="00FC25A8">
        <w:rPr>
          <w:rFonts w:ascii="Courier" w:hAnsi="Courier"/>
          <w:sz w:val="18"/>
          <w:szCs w:val="18"/>
        </w:rPr>
        <w:t>=6543</w:t>
      </w:r>
    </w:p>
    <w:p w14:paraId="14FB32FF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TMS is listening.</w:t>
      </w:r>
    </w:p>
    <w:p w14:paraId="03E00F9F" w14:textId="77777777" w:rsidR="001E1FC0" w:rsidRDefault="001E1FC0" w:rsidP="001E1FC0">
      <w:pPr>
        <w:spacing w:after="0"/>
        <w:rPr>
          <w:sz w:val="18"/>
          <w:szCs w:val="18"/>
        </w:rPr>
      </w:pPr>
    </w:p>
    <w:p w14:paraId="45C3F5F7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TMS_QUEUE</w:t>
      </w:r>
      <w:r>
        <w:rPr>
          <w:rFonts w:ascii="Courier" w:hAnsi="Courier"/>
          <w:sz w:val="18"/>
          <w:szCs w:val="18"/>
        </w:rPr>
        <w:t>=PROD_TMS_QUEUE</w:t>
      </w:r>
    </w:p>
    <w:p w14:paraId="09BFEF35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data being routed to the TMS.  This value must not be changed.</w:t>
      </w:r>
    </w:p>
    <w:p w14:paraId="23487C01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3972540C" w14:textId="4FBEB03B" w:rsidR="00BC51BE" w:rsidRDefault="00BC51BE" w:rsidP="00BC51BE">
      <w:pPr>
        <w:pStyle w:val="Heading1"/>
      </w:pPr>
      <w:bookmarkStart w:id="44" w:name="_Toc473363617"/>
      <w:r>
        <w:lastRenderedPageBreak/>
        <w:t xml:space="preserve">Command Line </w:t>
      </w:r>
      <w:r w:rsidR="00CB40A8">
        <w:t>Tools</w:t>
      </w:r>
      <w:bookmarkEnd w:id="44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2A224F30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26" w:history="1">
        <w:r w:rsidRPr="00523708">
          <w:rPr>
            <w:rStyle w:val="Hyperlink"/>
          </w:rPr>
          <w:t>psql</w:t>
        </w:r>
      </w:hyperlink>
      <w:r w:rsidR="00FF3219">
        <w:t xml:space="preserve"> terminal to the pg1 container.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Default="007A654E" w:rsidP="00BC51BE">
      <w:r>
        <w:t>See the discussion for the $ psql1 command.</w:t>
      </w:r>
    </w:p>
    <w:p w14:paraId="01AB1B3E" w14:textId="5A9D74CB" w:rsidR="00EC0D33" w:rsidRDefault="000E6665" w:rsidP="00EC0D33">
      <w:pPr>
        <w:rPr>
          <w:b/>
        </w:rPr>
      </w:pPr>
      <w:r>
        <w:rPr>
          <w:b/>
        </w:rPr>
        <w:t>$ stores-</w:t>
      </w:r>
      <w:r w:rsidR="009A4CC3">
        <w:rPr>
          <w:b/>
        </w:rPr>
        <w:t>down</w:t>
      </w:r>
    </w:p>
    <w:p w14:paraId="1C40D9AA" w14:textId="04C74539" w:rsidR="00EC0D33" w:rsidRDefault="00FF3219" w:rsidP="00EC0D33">
      <w:r>
        <w:t>Shuts down all TCS containers that have a backing store</w:t>
      </w:r>
      <w:r w:rsidR="00C34F39">
        <w:t xml:space="preserve">.  </w:t>
      </w:r>
      <w:r w:rsidR="003743B7">
        <w:t xml:space="preserve">These are: </w:t>
      </w:r>
      <w:r w:rsidR="009A4CC3">
        <w:t>pg1</w:t>
      </w:r>
      <w:r w:rsidR="003743B7">
        <w:t xml:space="preserve">, pg2, </w:t>
      </w:r>
      <w:r w:rsidR="009A4CC3">
        <w:t xml:space="preserve">rabbitmq, jenkins, </w:t>
      </w:r>
      <w:r w:rsidR="003743B7">
        <w:t xml:space="preserve">and </w:t>
      </w:r>
      <w:r w:rsidR="009A4CC3">
        <w:t>barman</w:t>
      </w:r>
      <w:r w:rsidR="003743B7">
        <w:t>.</w:t>
      </w:r>
      <w:r w:rsidR="000E6665">
        <w:t xml:space="preserve">  Note that if the software detects that containers from a different operating environment are active, then this command will abort.</w:t>
      </w:r>
    </w:p>
    <w:p w14:paraId="29A03E7C" w14:textId="64058BF9" w:rsidR="009A4CC3" w:rsidRDefault="009A4CC3" w:rsidP="009A4CC3">
      <w:pPr>
        <w:rPr>
          <w:b/>
        </w:rPr>
      </w:pPr>
      <w:r>
        <w:rPr>
          <w:b/>
        </w:rPr>
        <w:t>$ tcs [down]</w:t>
      </w:r>
    </w:p>
    <w:p w14:paraId="0389E801" w14:textId="3D80CAFE" w:rsidR="009A4CC3" w:rsidRDefault="009A4CC3" w:rsidP="009A4CC3">
      <w:r>
        <w:t xml:space="preserve">This command allows the user to either start or </w:t>
      </w:r>
      <w:r w:rsidR="009416D3">
        <w:t>remove</w:t>
      </w:r>
      <w:r>
        <w:t xml:space="preserve"> </w:t>
      </w:r>
      <w:r w:rsidR="009416D3">
        <w:t xml:space="preserve">the TCS containers that are required to support the current environment.  See also </w:t>
      </w:r>
      <w:r w:rsidRPr="009A4CC3">
        <w:rPr>
          <w:b/>
        </w:rPr>
        <w:t xml:space="preserve">$ </w:t>
      </w:r>
      <w:proofErr w:type="spellStart"/>
      <w:r w:rsidRPr="009A4CC3">
        <w:rPr>
          <w:b/>
        </w:rPr>
        <w:t>tcsenv</w:t>
      </w:r>
      <w:proofErr w:type="spellEnd"/>
      <w:r w:rsidR="00A82E21">
        <w:t>.</w:t>
      </w:r>
    </w:p>
    <w:p w14:paraId="0649F893" w14:textId="2065BCD1" w:rsidR="009A4CC3" w:rsidRDefault="009A4CC3" w:rsidP="009A4CC3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tcsenv</w:t>
      </w:r>
      <w:proofErr w:type="spellEnd"/>
      <w:r>
        <w:rPr>
          <w:b/>
        </w:rPr>
        <w:t xml:space="preserve"> </w:t>
      </w:r>
      <w:r w:rsidR="00A82E21">
        <w:rPr>
          <w:b/>
        </w:rPr>
        <w:t xml:space="preserve">[dev | qa | </w:t>
      </w:r>
      <w:proofErr w:type="gramStart"/>
      <w:r w:rsidR="00A82E21">
        <w:rPr>
          <w:b/>
        </w:rPr>
        <w:t>prod ]</w:t>
      </w:r>
      <w:proofErr w:type="gramEnd"/>
    </w:p>
    <w:p w14:paraId="1CE1FAC8" w14:textId="6D5A3F65" w:rsidR="00C712A6" w:rsidRDefault="00A82E21" w:rsidP="0010513D">
      <w:r>
        <w:t>If no environment is provided, then the current environment is displayed.</w:t>
      </w:r>
      <w:r w:rsidR="00937EBF">
        <w:t xml:space="preserve">  If a valid environment selection is provided, then the environment is switched to the user’s selection.  On</w:t>
      </w:r>
      <w:r w:rsidR="00DD40A8">
        <w:t>ce changed, then subsequent use</w:t>
      </w:r>
      <w:r w:rsidR="00937EBF">
        <w:t xml:space="preserve"> of the $ tcs command will apply to that environment.  Given that the default environment is ‘prod’, there should be limited need for this command.</w:t>
      </w:r>
    </w:p>
    <w:sectPr w:rsidR="00C712A6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6DC51" w14:textId="77777777" w:rsidR="006277E5" w:rsidRDefault="006277E5">
      <w:pPr>
        <w:spacing w:after="0"/>
      </w:pPr>
      <w:r>
        <w:separator/>
      </w:r>
    </w:p>
  </w:endnote>
  <w:endnote w:type="continuationSeparator" w:id="0">
    <w:p w14:paraId="50C5FC53" w14:textId="77777777" w:rsidR="006277E5" w:rsidRDefault="00627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010747">
      <w:rPr>
        <w:rStyle w:val="PageNumber"/>
        <w:b w:val="0"/>
        <w:smallCaps/>
        <w:noProof/>
        <w:color w:val="000000" w:themeColor="text1"/>
        <w:sz w:val="21"/>
      </w:rPr>
      <w:t>9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FF6BC5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AA477" w14:textId="77777777" w:rsidR="006277E5" w:rsidRDefault="006277E5">
      <w:pPr>
        <w:spacing w:after="0"/>
      </w:pPr>
      <w:r>
        <w:separator/>
      </w:r>
    </w:p>
  </w:footnote>
  <w:footnote w:type="continuationSeparator" w:id="0">
    <w:p w14:paraId="13D4DA2E" w14:textId="77777777" w:rsidR="006277E5" w:rsidRDefault="006277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FF6BC5" w:rsidRPr="001138F1" w:rsidRDefault="00FF6BC5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>
        <w:t>1.0.3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8"/>
  </w:num>
  <w:num w:numId="4">
    <w:abstractNumId w:val="14"/>
  </w:num>
  <w:num w:numId="5">
    <w:abstractNumId w:val="22"/>
  </w:num>
  <w:num w:numId="6">
    <w:abstractNumId w:val="37"/>
  </w:num>
  <w:num w:numId="7">
    <w:abstractNumId w:val="20"/>
  </w:num>
  <w:num w:numId="8">
    <w:abstractNumId w:val="21"/>
  </w:num>
  <w:num w:numId="9">
    <w:abstractNumId w:val="33"/>
  </w:num>
  <w:num w:numId="10">
    <w:abstractNumId w:val="12"/>
  </w:num>
  <w:num w:numId="11">
    <w:abstractNumId w:val="16"/>
  </w:num>
  <w:num w:numId="12">
    <w:abstractNumId w:val="17"/>
  </w:num>
  <w:num w:numId="13">
    <w:abstractNumId w:val="18"/>
  </w:num>
  <w:num w:numId="14">
    <w:abstractNumId w:val="30"/>
  </w:num>
  <w:num w:numId="15">
    <w:abstractNumId w:val="6"/>
  </w:num>
  <w:num w:numId="16">
    <w:abstractNumId w:val="8"/>
  </w:num>
  <w:num w:numId="17">
    <w:abstractNumId w:val="34"/>
  </w:num>
  <w:num w:numId="18">
    <w:abstractNumId w:val="10"/>
  </w:num>
  <w:num w:numId="19">
    <w:abstractNumId w:val="28"/>
  </w:num>
  <w:num w:numId="20">
    <w:abstractNumId w:val="1"/>
  </w:num>
  <w:num w:numId="21">
    <w:abstractNumId w:val="23"/>
  </w:num>
  <w:num w:numId="22">
    <w:abstractNumId w:val="3"/>
  </w:num>
  <w:num w:numId="23">
    <w:abstractNumId w:val="32"/>
  </w:num>
  <w:num w:numId="24">
    <w:abstractNumId w:val="9"/>
  </w:num>
  <w:num w:numId="25">
    <w:abstractNumId w:val="7"/>
  </w:num>
  <w:num w:numId="26">
    <w:abstractNumId w:val="2"/>
  </w:num>
  <w:num w:numId="27">
    <w:abstractNumId w:val="19"/>
  </w:num>
  <w:num w:numId="28">
    <w:abstractNumId w:val="31"/>
  </w:num>
  <w:num w:numId="29">
    <w:abstractNumId w:val="39"/>
  </w:num>
  <w:num w:numId="30">
    <w:abstractNumId w:val="11"/>
  </w:num>
  <w:num w:numId="31">
    <w:abstractNumId w:val="36"/>
  </w:num>
  <w:num w:numId="32">
    <w:abstractNumId w:val="26"/>
  </w:num>
  <w:num w:numId="33">
    <w:abstractNumId w:val="29"/>
  </w:num>
  <w:num w:numId="34">
    <w:abstractNumId w:val="0"/>
  </w:num>
  <w:num w:numId="35">
    <w:abstractNumId w:val="5"/>
  </w:num>
  <w:num w:numId="36">
    <w:abstractNumId w:val="15"/>
  </w:num>
  <w:num w:numId="37">
    <w:abstractNumId w:val="4"/>
  </w:num>
  <w:num w:numId="38">
    <w:abstractNumId w:val="25"/>
  </w:num>
  <w:num w:numId="39">
    <w:abstractNumId w:val="13"/>
  </w:num>
  <w:num w:numId="4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6ED2"/>
    <w:rsid w:val="002A0F19"/>
    <w:rsid w:val="002A1304"/>
    <w:rsid w:val="002A3EDE"/>
    <w:rsid w:val="002A5913"/>
    <w:rsid w:val="002B0119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7843"/>
    <w:rsid w:val="00371607"/>
    <w:rsid w:val="003729A1"/>
    <w:rsid w:val="003743B7"/>
    <w:rsid w:val="00374AC8"/>
    <w:rsid w:val="003935A4"/>
    <w:rsid w:val="00393677"/>
    <w:rsid w:val="003A1BB2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277E5"/>
    <w:rsid w:val="00632133"/>
    <w:rsid w:val="00634DCF"/>
    <w:rsid w:val="00635B3D"/>
    <w:rsid w:val="00637A02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705E2"/>
    <w:rsid w:val="007750FF"/>
    <w:rsid w:val="007859D3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5807"/>
    <w:rsid w:val="00806B10"/>
    <w:rsid w:val="008127D7"/>
    <w:rsid w:val="00812808"/>
    <w:rsid w:val="00814195"/>
    <w:rsid w:val="00815C28"/>
    <w:rsid w:val="00816A13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388F"/>
    <w:rsid w:val="00AF4BD6"/>
    <w:rsid w:val="00AF78E9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5A15"/>
    <w:rsid w:val="00D77813"/>
    <w:rsid w:val="00D813B1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D24E9"/>
    <w:rsid w:val="00ED2A9B"/>
    <w:rsid w:val="00EE2C79"/>
    <w:rsid w:val="00EE452B"/>
    <w:rsid w:val="00EE570A"/>
    <w:rsid w:val="00EE6670"/>
    <w:rsid w:val="00EE781F"/>
    <w:rsid w:val="00EF2B07"/>
    <w:rsid w:val="00EF39FF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hyperlink" Target="https://www.postgresql.org/docs/9.6/static/index.html" TargetMode="External"/><Relationship Id="rId25" Type="http://schemas.openxmlformats.org/officeDocument/2006/relationships/hyperlink" Target="https://www.npmjs.com/package/node-schedule" TargetMode="External"/><Relationship Id="rId26" Type="http://schemas.openxmlformats.org/officeDocument/2006/relationships/hyperlink" Target="http://postgresguide.com/utilities/psql.html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TCS%20Developer%20Manual.docx" TargetMode="External"/><Relationship Id="rId15" Type="http://schemas.openxmlformats.org/officeDocument/2006/relationships/hyperlink" Target="https://github.com/ccbcadmin/telephony-capture-service.git" TargetMode="External"/><Relationship Id="rId16" Type="http://schemas.openxmlformats.org/officeDocument/2006/relationships/hyperlink" Target="https://git-scm.com/documentation" TargetMode="External"/><Relationship Id="rId17" Type="http://schemas.openxmlformats.org/officeDocument/2006/relationships/hyperlink" Target="https://docs.docker.com/" TargetMode="External"/><Relationship Id="rId18" Type="http://schemas.openxmlformats.org/officeDocument/2006/relationships/hyperlink" Target="https://www.postgresql.org/docs/9.6/static/index.html" TargetMode="External"/><Relationship Id="rId19" Type="http://schemas.openxmlformats.org/officeDocument/2006/relationships/hyperlink" Target="http://www.pgbarman.or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F59EF41-F873-5E46-AC8E-B8715C78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1979</TotalTime>
  <Pages>16</Pages>
  <Words>3020</Words>
  <Characters>16405</Characters>
  <Application>Microsoft Macintosh Word</Application>
  <DocSecurity>0</DocSecurity>
  <Lines>482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19085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223</cp:revision>
  <dcterms:created xsi:type="dcterms:W3CDTF">2016-10-24T19:12:00Z</dcterms:created>
  <dcterms:modified xsi:type="dcterms:W3CDTF">2017-01-28T19:11:00Z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1.0.3</vt:lpwstr>
  </property>
</Properties>
</file>