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65C57210" w14:textId="54381CFE" w:rsidR="00323B62" w:rsidRDefault="00F27360" w:rsidP="00323B62">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As we write to the reviewer below, t</w:t>
      </w:r>
      <w:r w:rsidRPr="00045DE5">
        <w:rPr>
          <w:rFonts w:ascii="Times New Roman" w:hAnsi="Times New Roman" w:cs="Times New Roman"/>
          <w:color w:val="212121"/>
          <w:sz w:val="24"/>
          <w:szCs w:val="24"/>
          <w:shd w:val="clear" w:color="auto" w:fill="FFFFFF"/>
        </w:rPr>
        <w:t xml:space="preserve">his is a good point that we had </w:t>
      </w:r>
      <w:r>
        <w:rPr>
          <w:rFonts w:ascii="Times New Roman" w:hAnsi="Times New Roman" w:cs="Times New Roman"/>
          <w:color w:val="212121"/>
          <w:sz w:val="24"/>
          <w:szCs w:val="24"/>
          <w:shd w:val="clear" w:color="auto" w:fill="FFFFFF"/>
        </w:rPr>
        <w:t xml:space="preserve">overlooked in the initial manuscript. In our revision, we have tried to more fairly present the advantages </w:t>
      </w:r>
      <w:r w:rsidRPr="00F27360">
        <w:rPr>
          <w:rFonts w:ascii="Times New Roman" w:hAnsi="Times New Roman" w:cs="Times New Roman"/>
          <w:i/>
          <w:color w:val="212121"/>
          <w:sz w:val="24"/>
          <w:szCs w:val="24"/>
          <w:shd w:val="clear" w:color="auto" w:fill="FFFFFF"/>
        </w:rPr>
        <w:t>and</w:t>
      </w:r>
      <w:r w:rsidR="00D56543">
        <w:rPr>
          <w:rFonts w:ascii="Times New Roman" w:hAnsi="Times New Roman" w:cs="Times New Roman"/>
          <w:color w:val="212121"/>
          <w:sz w:val="24"/>
          <w:szCs w:val="24"/>
          <w:shd w:val="clear" w:color="auto" w:fill="FFFFFF"/>
        </w:rPr>
        <w:t xml:space="preserve"> disadvantages</w:t>
      </w:r>
      <w:r>
        <w:rPr>
          <w:rFonts w:ascii="Times New Roman" w:hAnsi="Times New Roman" w:cs="Times New Roman"/>
          <w:color w:val="212121"/>
          <w:sz w:val="24"/>
          <w:szCs w:val="24"/>
          <w:shd w:val="clear" w:color="auto" w:fill="FFFFFF"/>
        </w:rPr>
        <w:t>. The advantages being that citizens policy views may differ across domains, preferring more conservative (or progressive) policy at the local level, that the electorate is often differently composed at local elections, meaning that the electorates ideological profile is not captured in national elections. The disadvantages being that l</w:t>
      </w:r>
      <w:r w:rsidRPr="00045DE5">
        <w:rPr>
          <w:rFonts w:ascii="Times New Roman" w:hAnsi="Times New Roman" w:cs="Times New Roman"/>
          <w:color w:val="212121"/>
          <w:sz w:val="24"/>
          <w:szCs w:val="24"/>
          <w:shd w:val="clear" w:color="auto" w:fill="FFFFFF"/>
        </w:rPr>
        <w:t>ocal parties might adjust their ideological profile to appeal to local voters</w:t>
      </w:r>
      <w:r>
        <w:rPr>
          <w:rFonts w:ascii="Times New Roman" w:hAnsi="Times New Roman" w:cs="Times New Roman"/>
          <w:color w:val="212121"/>
          <w:sz w:val="24"/>
          <w:szCs w:val="24"/>
          <w:shd w:val="clear" w:color="auto" w:fill="FFFFFF"/>
        </w:rPr>
        <w:t>. However, we also argue that we think this disadvantage i</w:t>
      </w:r>
      <w:r w:rsidR="001C15BC">
        <w:rPr>
          <w:rFonts w:ascii="Times New Roman" w:hAnsi="Times New Roman" w:cs="Times New Roman"/>
          <w:color w:val="212121"/>
          <w:sz w:val="24"/>
          <w:szCs w:val="24"/>
          <w:shd w:val="clear" w:color="auto" w:fill="FFFFFF"/>
        </w:rPr>
        <w:t>s somewhat smaller in our study</w:t>
      </w:r>
      <w:r>
        <w:rPr>
          <w:rFonts w:ascii="Times New Roman" w:hAnsi="Times New Roman" w:cs="Times New Roman"/>
          <w:color w:val="212121"/>
          <w:sz w:val="24"/>
          <w:szCs w:val="24"/>
          <w:shd w:val="clear" w:color="auto" w:fill="FFFFFF"/>
        </w:rPr>
        <w:t xml:space="preserve"> where we look at how policy changes when net support for right-wing party changes (rather than the level of support for these parties).</w:t>
      </w:r>
    </w:p>
    <w:p w14:paraId="225E85EC" w14:textId="44860D9F" w:rsidR="00F27360" w:rsidRDefault="00F27360" w:rsidP="00323B62">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also highlight in the new manuscript that </w:t>
      </w:r>
      <w:r w:rsidR="00432181">
        <w:rPr>
          <w:rFonts w:ascii="Times New Roman" w:hAnsi="Times New Roman" w:cs="Times New Roman"/>
          <w:color w:val="212121"/>
          <w:sz w:val="24"/>
          <w:szCs w:val="24"/>
          <w:shd w:val="clear" w:color="auto" w:fill="FFFFFF"/>
        </w:rPr>
        <w:t xml:space="preserve">all municipalities feature multiple parties, and that most of these parties are the same as those who run in national elections. </w:t>
      </w:r>
      <w:r w:rsidR="00432181" w:rsidRPr="00432181">
        <w:rPr>
          <w:rFonts w:ascii="Times New Roman" w:hAnsi="Times New Roman" w:cs="Times New Roman"/>
          <w:color w:val="212121"/>
          <w:sz w:val="24"/>
          <w:szCs w:val="24"/>
          <w:highlight w:val="yellow"/>
          <w:shd w:val="clear" w:color="auto" w:fill="FFFFFF"/>
        </w:rPr>
        <w:t>In particular XX percent…</w:t>
      </w:r>
    </w:p>
    <w:p w14:paraId="57314A0A" w14:textId="77777777" w:rsidR="00F27360" w:rsidRDefault="00F27360" w:rsidP="00F27360">
      <w:pPr>
        <w:rPr>
          <w:rFonts w:ascii="Times New Roman" w:hAnsi="Times New Roman" w:cs="Times New Roman"/>
          <w:color w:val="212121"/>
          <w:sz w:val="24"/>
          <w:szCs w:val="24"/>
          <w:shd w:val="clear" w:color="auto" w:fill="FFFFFF"/>
        </w:rPr>
      </w:pPr>
    </w:p>
    <w:p w14:paraId="7B6DE34C" w14:textId="289421EE"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006D06C0" w14:textId="7A9CEB73" w:rsidR="00290096" w:rsidRDefault="00290096" w:rsidP="00290096">
      <w:pPr>
        <w:spacing w:line="276" w:lineRule="auto"/>
        <w:jc w:val="both"/>
        <w:rPr>
          <w:rFonts w:ascii="Times New Roman" w:hAnsi="Times New Roman" w:cs="Times New Roman"/>
          <w:color w:val="212121"/>
          <w:sz w:val="24"/>
          <w:szCs w:val="24"/>
        </w:rPr>
      </w:pPr>
      <w:r>
        <w:rPr>
          <w:rFonts w:ascii="Times New Roman" w:hAnsi="Times New Roman" w:cs="Times New Roman"/>
          <w:sz w:val="24"/>
          <w:szCs w:val="24"/>
        </w:rPr>
        <w:t>In our revision, we have added a theory section where we discuss what the implications the timing of municipal policy change has for both accountability and the underlying mechanisms that produce local responsiveness. We present these discussions in the new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p>
    <w:p w14:paraId="4FAF18C6" w14:textId="7A543322" w:rsidR="00432181" w:rsidRDefault="00290096" w:rsidP="00323B6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terms of the underlying mechanism producing local responsiveness, we note that since</w:t>
      </w:r>
      <w:r w:rsidRPr="00221A85">
        <w:rPr>
          <w:rFonts w:ascii="Times New Roman" w:hAnsi="Times New Roman" w:cs="Times New Roman"/>
          <w:sz w:val="24"/>
          <w:szCs w:val="24"/>
        </w:rPr>
        <w:t xml:space="preserve"> policy responds a few years after the preferences of the voters' have changed, voters need to express their wishes in the electoral process in order to change the re-election </w:t>
      </w:r>
      <w:r>
        <w:rPr>
          <w:rFonts w:ascii="Times New Roman" w:hAnsi="Times New Roman" w:cs="Times New Roman"/>
          <w:sz w:val="24"/>
          <w:szCs w:val="24"/>
        </w:rPr>
        <w:t>incentives of the politicians in office. This casts doubt on alternative explanations, highlighting structural, slow-</w:t>
      </w:r>
      <w:r>
        <w:rPr>
          <w:rFonts w:ascii="Times New Roman" w:hAnsi="Times New Roman" w:cs="Times New Roman"/>
          <w:sz w:val="24"/>
          <w:szCs w:val="24"/>
        </w:rPr>
        <w:lastRenderedPageBreak/>
        <w:t>acting factors, as well as explanations that suggest politicians continually alter policy in response to non-electoral signals that citizens</w:t>
      </w:r>
      <w:r w:rsidR="00200C3E">
        <w:rPr>
          <w:rFonts w:ascii="Times New Roman" w:hAnsi="Times New Roman" w:cs="Times New Roman"/>
          <w:sz w:val="24"/>
          <w:szCs w:val="24"/>
        </w:rPr>
        <w:t>’</w:t>
      </w:r>
      <w:r>
        <w:rPr>
          <w:rFonts w:ascii="Times New Roman" w:hAnsi="Times New Roman" w:cs="Times New Roman"/>
          <w:sz w:val="24"/>
          <w:szCs w:val="24"/>
        </w:rPr>
        <w:t xml:space="preserve"> preferences are changing.</w:t>
      </w:r>
    </w:p>
    <w:p w14:paraId="362EE1AB" w14:textId="2A83DC89" w:rsidR="00200C3E" w:rsidRPr="00200C3E" w:rsidRDefault="00200C3E" w:rsidP="00323B62">
      <w:pPr>
        <w:spacing w:line="276" w:lineRule="auto"/>
        <w:ind w:firstLine="720"/>
        <w:jc w:val="both"/>
        <w:rPr>
          <w:rFonts w:ascii="Times New Roman" w:hAnsi="Times New Roman" w:cs="Times New Roman"/>
          <w:sz w:val="24"/>
          <w:szCs w:val="24"/>
        </w:rPr>
      </w:pPr>
      <w:r w:rsidRPr="00200C3E">
        <w:rPr>
          <w:rFonts w:ascii="Times New Roman" w:hAnsi="Times New Roman" w:cs="Times New Roman"/>
          <w:sz w:val="24"/>
          <w:szCs w:val="24"/>
        </w:rPr>
        <w:t>From the standpoint of electoral accountability</w:t>
      </w:r>
      <w:r>
        <w:rPr>
          <w:rFonts w:ascii="Times New Roman" w:hAnsi="Times New Roman" w:cs="Times New Roman"/>
          <w:sz w:val="24"/>
          <w:szCs w:val="24"/>
        </w:rPr>
        <w:t>,</w:t>
      </w:r>
      <w:r w:rsidRPr="00200C3E">
        <w:rPr>
          <w:rFonts w:ascii="Times New Roman" w:hAnsi="Times New Roman" w:cs="Times New Roman"/>
          <w:sz w:val="24"/>
          <w:szCs w:val="24"/>
        </w:rPr>
        <w:t xml:space="preserve"> </w:t>
      </w:r>
      <w:r>
        <w:rPr>
          <w:rFonts w:ascii="Times New Roman" w:hAnsi="Times New Roman" w:cs="Times New Roman"/>
          <w:sz w:val="24"/>
          <w:szCs w:val="24"/>
        </w:rPr>
        <w:t>we argue that it</w:t>
      </w:r>
      <w:r w:rsidRPr="00200C3E">
        <w:rPr>
          <w:rFonts w:ascii="Times New Roman" w:hAnsi="Times New Roman" w:cs="Times New Roman"/>
          <w:sz w:val="24"/>
          <w:szCs w:val="24"/>
        </w:rPr>
        <w:t xml:space="preserve"> is reassuring that policy responds within the four year election cycle. In this way, citizens will be able to recognize and act on whether politicians have changed policy based on the change in preference they expressed at the last election.</w:t>
      </w:r>
    </w:p>
    <w:p w14:paraId="41B5D6C4" w14:textId="7A38467F"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5BF57C08" w14:textId="4C6D79D7" w:rsidR="00432181" w:rsidRDefault="0022474E"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agree that data and results were not presented with sufficient clarity. </w:t>
      </w:r>
      <w:r w:rsidR="00432181">
        <w:rPr>
          <w:rFonts w:ascii="Times New Roman" w:hAnsi="Times New Roman" w:cs="Times New Roman"/>
          <w:sz w:val="24"/>
          <w:szCs w:val="24"/>
        </w:rPr>
        <w:t xml:space="preserve">We have substantially altered the result section in response to this comment from the editor and reviewer 3. In particular, </w:t>
      </w:r>
      <w:r w:rsidR="002F7103">
        <w:rPr>
          <w:rFonts w:ascii="Times New Roman" w:hAnsi="Times New Roman" w:cs="Times New Roman"/>
          <w:sz w:val="24"/>
          <w:szCs w:val="24"/>
        </w:rPr>
        <w:t>we now present a wide range of descriptive stati</w:t>
      </w:r>
      <w:r w:rsidR="00155F77">
        <w:rPr>
          <w:rFonts w:ascii="Times New Roman" w:hAnsi="Times New Roman" w:cs="Times New Roman"/>
          <w:sz w:val="24"/>
          <w:szCs w:val="24"/>
        </w:rPr>
        <w:t xml:space="preserve">stics on Danish municipalities. </w:t>
      </w:r>
      <w:r w:rsidR="00F8500B">
        <w:rPr>
          <w:rFonts w:ascii="Times New Roman" w:hAnsi="Times New Roman" w:cs="Times New Roman"/>
          <w:sz w:val="24"/>
          <w:szCs w:val="24"/>
        </w:rPr>
        <w:t>This should give the reader a better idea about the structure of the data and what is at stake.</w:t>
      </w:r>
      <w:r w:rsidR="002F7103">
        <w:rPr>
          <w:rFonts w:ascii="Times New Roman" w:hAnsi="Times New Roman" w:cs="Times New Roman"/>
          <w:sz w:val="24"/>
          <w:szCs w:val="24"/>
        </w:rPr>
        <w:t xml:space="preserve"> Additionally, we present the main results in Table 2, instead of</w:t>
      </w:r>
      <w:r w:rsidR="00CD082E">
        <w:rPr>
          <w:rFonts w:ascii="Times New Roman" w:hAnsi="Times New Roman" w:cs="Times New Roman"/>
          <w:sz w:val="24"/>
          <w:szCs w:val="24"/>
        </w:rPr>
        <w:t xml:space="preserve"> doing so</w:t>
      </w:r>
      <w:r w:rsidR="002F7103">
        <w:rPr>
          <w:rFonts w:ascii="Times New Roman" w:hAnsi="Times New Roman" w:cs="Times New Roman"/>
          <w:sz w:val="24"/>
          <w:szCs w:val="24"/>
        </w:rPr>
        <w:t xml:space="preserve"> visually. </w:t>
      </w:r>
      <w:r w:rsidR="00CD082E">
        <w:rPr>
          <w:rFonts w:ascii="Times New Roman" w:hAnsi="Times New Roman" w:cs="Times New Roman"/>
          <w:sz w:val="24"/>
          <w:szCs w:val="24"/>
        </w:rPr>
        <w:t>This allows for closer inspectio</w:t>
      </w:r>
      <w:r w:rsidR="00636F24">
        <w:rPr>
          <w:rFonts w:ascii="Times New Roman" w:hAnsi="Times New Roman" w:cs="Times New Roman"/>
          <w:sz w:val="24"/>
          <w:szCs w:val="24"/>
        </w:rPr>
        <w:t>n of the models and for</w:t>
      </w:r>
      <w:r w:rsidR="00A028E5">
        <w:rPr>
          <w:rFonts w:ascii="Times New Roman" w:hAnsi="Times New Roman" w:cs="Times New Roman"/>
          <w:sz w:val="24"/>
          <w:szCs w:val="24"/>
        </w:rPr>
        <w:t xml:space="preserve"> </w:t>
      </w:r>
      <w:r w:rsidR="00636F24">
        <w:rPr>
          <w:rFonts w:ascii="Times New Roman" w:hAnsi="Times New Roman" w:cs="Times New Roman"/>
          <w:sz w:val="24"/>
          <w:szCs w:val="24"/>
        </w:rPr>
        <w:t xml:space="preserve">comparison of </w:t>
      </w:r>
      <w:r w:rsidR="00CD082E">
        <w:rPr>
          <w:rFonts w:ascii="Times New Roman" w:hAnsi="Times New Roman" w:cs="Times New Roman"/>
          <w:sz w:val="24"/>
          <w:szCs w:val="24"/>
        </w:rPr>
        <w:t xml:space="preserve">the coefficients </w:t>
      </w:r>
      <w:r w:rsidR="00636F24">
        <w:rPr>
          <w:rFonts w:ascii="Times New Roman" w:hAnsi="Times New Roman" w:cs="Times New Roman"/>
          <w:sz w:val="24"/>
          <w:szCs w:val="24"/>
        </w:rPr>
        <w:t>and</w:t>
      </w:r>
      <w:r w:rsidR="00CD082E">
        <w:rPr>
          <w:rFonts w:ascii="Times New Roman" w:hAnsi="Times New Roman" w:cs="Times New Roman"/>
          <w:sz w:val="24"/>
          <w:szCs w:val="24"/>
        </w:rPr>
        <w:t xml:space="preserve"> the descriptive statistics presented in Table 1. </w:t>
      </w:r>
    </w:p>
    <w:p w14:paraId="66E3963C" w14:textId="6371CF3F" w:rsidR="00CD082E" w:rsidRPr="00432181" w:rsidRDefault="00CD082E"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CC6185">
        <w:rPr>
          <w:rFonts w:ascii="Times New Roman" w:hAnsi="Times New Roman" w:cs="Times New Roman"/>
          <w:sz w:val="24"/>
          <w:szCs w:val="24"/>
        </w:rPr>
        <w:t>As suggested by reviewer 3, we have also sought to improve the transparency of our measure of fiscal conservatism. In the appendix, we have added a number of analyses gauging the index’s reliability and discussing its validity. Fu</w:t>
      </w:r>
      <w:r w:rsidR="00314A42">
        <w:rPr>
          <w:rFonts w:ascii="Times New Roman" w:hAnsi="Times New Roman" w:cs="Times New Roman"/>
          <w:sz w:val="24"/>
          <w:szCs w:val="24"/>
        </w:rPr>
        <w:t>rthermore, we have added additional</w:t>
      </w:r>
      <w:r w:rsidR="00CC6185">
        <w:rPr>
          <w:rFonts w:ascii="Times New Roman" w:hAnsi="Times New Roman" w:cs="Times New Roman"/>
          <w:sz w:val="24"/>
          <w:szCs w:val="24"/>
        </w:rPr>
        <w:t xml:space="preserve"> discussion of the benefits and pitfalls, when using a Bayesian measurement model. Finally, we discuss which aspects of fiscal conservatism each item is </w:t>
      </w:r>
      <w:r w:rsidR="00A45D0A">
        <w:rPr>
          <w:rFonts w:ascii="Times New Roman" w:hAnsi="Times New Roman" w:cs="Times New Roman"/>
          <w:sz w:val="24"/>
          <w:szCs w:val="24"/>
        </w:rPr>
        <w:t>supposed</w:t>
      </w:r>
      <w:r w:rsidR="00CC6185">
        <w:rPr>
          <w:rFonts w:ascii="Times New Roman" w:hAnsi="Times New Roman" w:cs="Times New Roman"/>
          <w:sz w:val="24"/>
          <w:szCs w:val="24"/>
        </w:rPr>
        <w:t xml:space="preserve"> to capture, and present descriptive statistics on each item. </w:t>
      </w:r>
    </w:p>
    <w:p w14:paraId="77FCF64A" w14:textId="1FB04B70"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0237E83" w14:textId="55BD63FF" w:rsidR="002E306C" w:rsidRDefault="0059763C"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agree that this was not adequately dealt with in the original manuscript, in our revision we argue that </w:t>
      </w:r>
      <w:r w:rsidR="002E306C">
        <w:rPr>
          <w:rFonts w:ascii="Times New Roman" w:hAnsi="Times New Roman" w:cs="Times New Roman"/>
          <w:sz w:val="24"/>
          <w:szCs w:val="24"/>
        </w:rPr>
        <w:t>even though t</w:t>
      </w:r>
      <w:r w:rsidR="002E306C" w:rsidRPr="0059763C">
        <w:rPr>
          <w:rFonts w:ascii="Times New Roman" w:hAnsi="Times New Roman" w:cs="Times New Roman"/>
          <w:sz w:val="24"/>
          <w:szCs w:val="24"/>
        </w:rPr>
        <w:t>he Danish case cannot be seen as</w:t>
      </w:r>
      <w:r w:rsidR="002E306C">
        <w:rPr>
          <w:rFonts w:ascii="Times New Roman" w:hAnsi="Times New Roman" w:cs="Times New Roman"/>
          <w:sz w:val="24"/>
          <w:szCs w:val="24"/>
        </w:rPr>
        <w:t xml:space="preserve"> especially typical or atypical</w:t>
      </w:r>
      <w:r w:rsidR="002E306C" w:rsidRPr="0059763C">
        <w:rPr>
          <w:rFonts w:ascii="Times New Roman" w:hAnsi="Times New Roman" w:cs="Times New Roman"/>
          <w:sz w:val="24"/>
          <w:szCs w:val="24"/>
        </w:rPr>
        <w:t xml:space="preserve">, we </w:t>
      </w:r>
      <w:r w:rsidR="002E306C">
        <w:rPr>
          <w:rFonts w:ascii="Times New Roman" w:hAnsi="Times New Roman" w:cs="Times New Roman"/>
          <w:sz w:val="24"/>
          <w:szCs w:val="24"/>
        </w:rPr>
        <w:t>belive</w:t>
      </w:r>
      <w:r w:rsidR="002E306C" w:rsidRPr="0059763C">
        <w:rPr>
          <w:rFonts w:ascii="Times New Roman" w:hAnsi="Times New Roman" w:cs="Times New Roman"/>
          <w:sz w:val="24"/>
          <w:szCs w:val="24"/>
        </w:rPr>
        <w:t xml:space="preserve"> Danish municipalities are a critical case. A case which is particularly interesting for those interested in the prospects for responsive local governments. </w:t>
      </w:r>
      <w:r w:rsidR="002E306C">
        <w:rPr>
          <w:rFonts w:ascii="Times New Roman" w:hAnsi="Times New Roman" w:cs="Times New Roman"/>
          <w:sz w:val="24"/>
          <w:szCs w:val="24"/>
        </w:rPr>
        <w:t>M</w:t>
      </w:r>
      <w:r w:rsidR="002E306C"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2E306C">
        <w:rPr>
          <w:rFonts w:ascii="Times New Roman" w:hAnsi="Times New Roman" w:cs="Times New Roman"/>
          <w:sz w:val="24"/>
          <w:szCs w:val="24"/>
        </w:rPr>
        <w:t>ally democratically problematic.</w:t>
      </w:r>
    </w:p>
    <w:p w14:paraId="04BA1355" w14:textId="1F6C179E" w:rsidR="0059763C" w:rsidRDefault="002E306C" w:rsidP="00EC1D1C">
      <w:pPr>
        <w:spacing w:line="276" w:lineRule="auto"/>
        <w:jc w:val="both"/>
        <w:rPr>
          <w:rFonts w:ascii="Times New Roman" w:hAnsi="Times New Roman" w:cs="Times New Roman"/>
          <w:i/>
          <w:sz w:val="24"/>
          <w:szCs w:val="24"/>
        </w:rPr>
      </w:pPr>
      <w:r>
        <w:rPr>
          <w:rFonts w:ascii="Times New Roman" w:hAnsi="Times New Roman" w:cs="Times New Roman"/>
          <w:sz w:val="24"/>
          <w:szCs w:val="24"/>
        </w:rPr>
        <w:t>We have added these points to the section “Empirical Context” as wel as to the concluding section.</w:t>
      </w:r>
    </w:p>
    <w:p w14:paraId="3E8173F6" w14:textId="6F92FA15" w:rsidR="00EC1D1C" w:rsidRDefault="0059763C" w:rsidP="00EC1D1C">
      <w:pPr>
        <w:spacing w:line="276"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00EC1D1C" w:rsidRPr="00C11D12">
        <w:rPr>
          <w:rFonts w:ascii="Times New Roman" w:hAnsi="Times New Roman" w:cs="Times New Roman"/>
          <w:i/>
          <w:sz w:val="24"/>
          <w:szCs w:val="24"/>
        </w:rPr>
        <w:t>Please provide complete references to OECD (2016) (p.1), Fiva et al. (2016) (p.1), Sances (2017b) (p.2), and Ansolabehere and Schaffner (2015) (p.5).</w:t>
      </w:r>
    </w:p>
    <w:p w14:paraId="2C9A3AA0" w14:textId="33C7DF12" w:rsidR="00432181" w:rsidRDefault="00432181" w:rsidP="00EC1D1C">
      <w:pPr>
        <w:spacing w:line="276" w:lineRule="auto"/>
        <w:jc w:val="both"/>
        <w:rPr>
          <w:rFonts w:ascii="Times New Roman" w:hAnsi="Times New Roman" w:cs="Times New Roman"/>
          <w:i/>
          <w:sz w:val="24"/>
          <w:szCs w:val="24"/>
        </w:rPr>
      </w:pPr>
    </w:p>
    <w:p w14:paraId="15C5924E" w14:textId="7FE11D91"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added these references. We thank the editor for spotting these mistakes. </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010B11C0"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w:t>
      </w:r>
      <w:r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Pr="00C11D12">
        <w:rPr>
          <w:rFonts w:ascii="Times New Roman" w:hAnsi="Times New Roman" w:cs="Times New Roman"/>
          <w:sz w:val="24"/>
          <w:szCs w:val="24"/>
        </w:rPr>
        <w:t xml:space="preserve">” Naturally, </w:t>
      </w:r>
      <w:r w:rsidR="001B64A8">
        <w:rPr>
          <w:rFonts w:ascii="Times New Roman" w:hAnsi="Times New Roman" w:cs="Times New Roman"/>
          <w:sz w:val="24"/>
          <w:szCs w:val="24"/>
        </w:rPr>
        <w:t>R1</w:t>
      </w:r>
      <w:r w:rsidRPr="00C11D12">
        <w:rPr>
          <w:rFonts w:ascii="Times New Roman" w:hAnsi="Times New Roman" w:cs="Times New Roman"/>
          <w:sz w:val="24"/>
          <w:szCs w:val="24"/>
        </w:rPr>
        <w:t xml:space="preserve"> also has some concerns</w:t>
      </w:r>
      <w:r w:rsidR="005F2038">
        <w:rPr>
          <w:rFonts w:ascii="Times New Roman" w:hAnsi="Times New Roman" w:cs="Times New Roman"/>
          <w:sz w:val="24"/>
          <w:szCs w:val="24"/>
        </w:rPr>
        <w:t xml:space="preserve">, raising </w:t>
      </w:r>
      <w:r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Pr="00C11D12">
        <w:rPr>
          <w:rFonts w:ascii="Times New Roman" w:hAnsi="Times New Roman" w:cs="Times New Roman"/>
          <w:sz w:val="24"/>
          <w:szCs w:val="24"/>
        </w:rPr>
        <w: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09C898E2" w14:textId="6F9DD470" w:rsidR="005F2038" w:rsidRPr="009573B2" w:rsidRDefault="005F2038" w:rsidP="005F2038">
      <w:pPr>
        <w:rPr>
          <w:rFonts w:ascii="Times New Roman" w:hAnsi="Times New Roman" w:cs="Times New Roman"/>
          <w:color w:val="212121"/>
          <w:sz w:val="24"/>
          <w:szCs w:val="24"/>
          <w:shd w:val="clear" w:color="auto" w:fill="FFFFFF"/>
        </w:rPr>
      </w:pP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19E6D3ED" w:rsidR="00845091" w:rsidRDefault="005F2038" w:rsidP="00F0197D">
      <w:pPr>
        <w:ind w:firstLine="720"/>
        <w:rPr>
          <w:rFonts w:ascii="Times New Roman" w:hAnsi="Times New Roman" w:cs="Times New Roman"/>
          <w:color w:val="212121"/>
          <w:sz w:val="24"/>
          <w:szCs w:val="24"/>
          <w:shd w:val="clear" w:color="auto" w:fill="FFFFFF"/>
        </w:rPr>
      </w:pPr>
      <w:bookmarkStart w:id="0" w:name="_GoBack"/>
      <w:bookmarkEnd w:id="0"/>
      <w:r>
        <w:rPr>
          <w:rFonts w:ascii="Times New Roman" w:hAnsi="Times New Roman" w:cs="Times New Roman"/>
          <w:color w:val="212121"/>
          <w:sz w:val="24"/>
          <w:szCs w:val="24"/>
          <w:shd w:val="clear" w:color="auto" w:fill="FFFFFF"/>
        </w:rPr>
        <w:t>First, our measure is annual</w:t>
      </w:r>
      <w:r w:rsidR="00BC3BAC">
        <w:rPr>
          <w:rFonts w:ascii="Times New Roman" w:hAnsi="Times New Roman" w:cs="Times New Roman"/>
          <w:color w:val="212121"/>
          <w:sz w:val="24"/>
          <w:szCs w:val="24"/>
          <w:shd w:val="clear" w:color="auto" w:fill="FFFFFF"/>
        </w:rPr>
        <w:t xml:space="preserve"> whereas the COG is only 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sidRPr="009573B2">
        <w:rPr>
          <w:rFonts w:ascii="Times New Roman" w:hAnsi="Times New Roman" w:cs="Times New Roman"/>
          <w:i/>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w:t>
      </w:r>
      <w:r w:rsidR="009573B2">
        <w:rPr>
          <w:rFonts w:ascii="Times New Roman" w:hAnsi="Times New Roman" w:cs="Times New Roman"/>
          <w:color w:val="212121"/>
          <w:sz w:val="24"/>
          <w:szCs w:val="24"/>
          <w:shd w:val="clear" w:color="auto" w:fill="FFFFFF"/>
        </w:rPr>
        <w:t>S</w:t>
      </w:r>
      <w:r w:rsidR="00BC3BAC">
        <w:rPr>
          <w:rFonts w:ascii="Times New Roman" w:hAnsi="Times New Roman" w:cs="Times New Roman"/>
          <w:color w:val="212121"/>
          <w:sz w:val="24"/>
          <w:szCs w:val="24"/>
          <w:shd w:val="clear" w:color="auto" w:fill="FFFFFF"/>
        </w:rPr>
        <w:t>tudies relying on the COG ha</w:t>
      </w:r>
      <w:r w:rsidR="009573B2">
        <w:rPr>
          <w:rFonts w:ascii="Times New Roman" w:hAnsi="Times New Roman" w:cs="Times New Roman"/>
          <w:color w:val="212121"/>
          <w:sz w:val="24"/>
          <w:szCs w:val="24"/>
          <w:shd w:val="clear" w:color="auto" w:fill="FFFFFF"/>
        </w:rPr>
        <w:t>ve</w:t>
      </w:r>
      <w:r w:rsidR="00BC3BAC">
        <w:rPr>
          <w:rFonts w:ascii="Times New Roman" w:hAnsi="Times New Roman" w:cs="Times New Roman"/>
          <w:color w:val="212121"/>
          <w:sz w:val="24"/>
          <w:szCs w:val="24"/>
          <w:shd w:val="clear" w:color="auto" w:fill="FFFFFF"/>
        </w:rPr>
        <w:t xml:space="preserve"> been forced to interpolate preferences from election results before and after the collection of the COG to get a measure of preferences and policy at the same time. This makes it hard to neatly separate changes in preferences from changes in policy over time, </w:t>
      </w:r>
      <w:r w:rsidR="009573B2">
        <w:rPr>
          <w:rFonts w:ascii="Times New Roman" w:hAnsi="Times New Roman" w:cs="Times New Roman"/>
          <w:color w:val="212121"/>
          <w:sz w:val="24"/>
          <w:szCs w:val="24"/>
          <w:shd w:val="clear" w:color="auto" w:fill="FFFFFF"/>
        </w:rPr>
        <w:t>since</w:t>
      </w:r>
      <w:r w:rsidR="00BC3BAC">
        <w:rPr>
          <w:rFonts w:ascii="Times New Roman" w:hAnsi="Times New Roman" w:cs="Times New Roman"/>
          <w:color w:val="212121"/>
          <w:sz w:val="24"/>
          <w:szCs w:val="24"/>
          <w:shd w:val="clear" w:color="auto" w:fill="FFFFFF"/>
        </w:rPr>
        <w:t xml:space="preserv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1B8DD049" w:rsidR="001D64C8" w:rsidRDefault="009573B2" w:rsidP="00F0197D">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Further</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045DE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 xml:space="preserve">based on records </w:t>
      </w:r>
      <w:r>
        <w:rPr>
          <w:rFonts w:ascii="Times New Roman" w:hAnsi="Times New Roman" w:cs="Times New Roman"/>
          <w:color w:val="212121"/>
          <w:sz w:val="24"/>
          <w:szCs w:val="24"/>
          <w:shd w:val="clear" w:color="auto" w:fill="FFFFFF"/>
        </w:rPr>
        <w:t>from</w:t>
      </w:r>
      <w:r w:rsidR="006D6204" w:rsidRPr="006D6204">
        <w:rPr>
          <w:rFonts w:ascii="Times New Roman" w:hAnsi="Times New Roman" w:cs="Times New Roman"/>
          <w:color w:val="212121"/>
          <w:sz w:val="24"/>
          <w:szCs w:val="24"/>
          <w:shd w:val="clear" w:color="auto" w:fill="FFFFFF"/>
        </w:rPr>
        <w:t xml:space="preserve"> st</w:t>
      </w:r>
      <w:r w:rsidR="00045DE5">
        <w:rPr>
          <w:rFonts w:ascii="Times New Roman" w:hAnsi="Times New Roman" w:cs="Times New Roman"/>
          <w:color w:val="212121"/>
          <w:sz w:val="24"/>
          <w:szCs w:val="24"/>
          <w:shd w:val="clear" w:color="auto" w:fill="FFFFFF"/>
        </w:rPr>
        <w:t xml:space="preserve">ate governments </w:t>
      </w:r>
      <w:r>
        <w:rPr>
          <w:rFonts w:ascii="Times New Roman" w:hAnsi="Times New Roman" w:cs="Times New Roman"/>
          <w:color w:val="212121"/>
          <w:sz w:val="24"/>
          <w:szCs w:val="24"/>
          <w:shd w:val="clear" w:color="auto" w:fill="FFFFFF"/>
        </w:rPr>
        <w:t>which do not have common accounting standards.</w:t>
      </w:r>
    </w:p>
    <w:p w14:paraId="1BD01514" w14:textId="3F9973CC" w:rsidR="00C11D12" w:rsidRPr="00C11D12" w:rsidRDefault="00AB5933" w:rsidP="00F0197D">
      <w:pPr>
        <w:ind w:firstLine="720"/>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xml:space="preserve">” and </w:t>
      </w:r>
      <w:r w:rsidR="009573B2">
        <w:rPr>
          <w:rFonts w:ascii="Times New Roman" w:hAnsi="Times New Roman" w:cs="Times New Roman"/>
          <w:color w:val="212121"/>
          <w:sz w:val="24"/>
          <w:szCs w:val="24"/>
        </w:rPr>
        <w:t xml:space="preserve">also </w:t>
      </w:r>
      <w:r>
        <w:rPr>
          <w:rFonts w:ascii="Times New Roman" w:hAnsi="Times New Roman" w:cs="Times New Roman"/>
          <w:color w:val="212121"/>
          <w:sz w:val="24"/>
          <w:szCs w:val="24"/>
        </w:rPr>
        <w:t>feature</w:t>
      </w:r>
      <w:r w:rsidR="00C07391">
        <w:rPr>
          <w:rFonts w:ascii="Times New Roman" w:hAnsi="Times New Roman" w:cs="Times New Roman"/>
          <w:color w:val="212121"/>
          <w:sz w:val="24"/>
          <w:szCs w:val="24"/>
        </w:rPr>
        <w:t>s</w:t>
      </w:r>
      <w:r w:rsidR="009573B2">
        <w:rPr>
          <w:rFonts w:ascii="Times New Roman" w:hAnsi="Times New Roman" w:cs="Times New Roman"/>
          <w:color w:val="212121"/>
          <w:sz w:val="24"/>
          <w:szCs w:val="24"/>
        </w:rPr>
        <w:t xml:space="preserve"> prominently in</w:t>
      </w:r>
      <w:r>
        <w:rPr>
          <w:rFonts w:ascii="Times New Roman" w:hAnsi="Times New Roman" w:cs="Times New Roman"/>
          <w:color w:val="212121"/>
          <w:sz w:val="24"/>
          <w:szCs w:val="24"/>
        </w:rPr>
        <w:t xml:space="preserve"> the new theory/lit</w:t>
      </w:r>
      <w:r w:rsidR="009573B2">
        <w:rPr>
          <w:rFonts w:ascii="Times New Roman" w:hAnsi="Times New Roman" w:cs="Times New Roman"/>
          <w:color w:val="212121"/>
          <w:sz w:val="24"/>
          <w:szCs w:val="24"/>
        </w:rPr>
        <w:t>erature</w:t>
      </w:r>
      <w:r>
        <w:rPr>
          <w:rFonts w:ascii="Times New Roman" w:hAnsi="Times New Roman" w:cs="Times New Roman"/>
          <w:color w:val="212121"/>
          <w:sz w:val="24"/>
          <w:szCs w:val="24"/>
        </w:rPr>
        <w:t xml:space="preserve">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w:t>
      </w:r>
      <w:r w:rsidR="00C11D12" w:rsidRPr="00C11D12">
        <w:rPr>
          <w:rFonts w:ascii="Times New Roman" w:hAnsi="Times New Roman" w:cs="Times New Roman"/>
          <w:i/>
          <w:color w:val="212121"/>
          <w:sz w:val="24"/>
          <w:szCs w:val="24"/>
          <w:shd w:val="clear" w:color="auto" w:fill="FFFFFF"/>
        </w:rPr>
        <w:lastRenderedPageBreak/>
        <w:t>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21F54E4F" w14:textId="4F21DECB"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r w:rsidR="00DC0B51">
        <w:rPr>
          <w:rFonts w:ascii="Times New Roman" w:hAnsi="Times New Roman" w:cs="Times New Roman"/>
          <w:color w:val="212121"/>
          <w:sz w:val="24"/>
          <w:szCs w:val="24"/>
          <w:shd w:val="clear" w:color="auto" w:fill="FFFFFF"/>
        </w:rPr>
        <w:t>”</w:t>
      </w:r>
    </w:p>
    <w:p w14:paraId="3FD01F7F" w14:textId="4B168B0D" w:rsidR="00AB5933" w:rsidRDefault="00045DE5"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2C100F25" w:rsidR="00AB5933" w:rsidRPr="00045DE5" w:rsidRDefault="00AB5933"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Pr>
          <w:rFonts w:ascii="Times New Roman" w:hAnsi="Times New Roman" w:cs="Times New Roman"/>
          <w:color w:val="212121"/>
          <w:sz w:val="24"/>
          <w:szCs w:val="24"/>
          <w:shd w:val="clear" w:color="auto" w:fill="FFFFFF"/>
        </w:rPr>
        <w:t xml:space="preserve">”, which we </w:t>
      </w:r>
      <w:r w:rsidR="009573B2">
        <w:rPr>
          <w:rFonts w:ascii="Times New Roman" w:hAnsi="Times New Roman" w:cs="Times New Roman"/>
          <w:color w:val="212121"/>
          <w:sz w:val="24"/>
          <w:szCs w:val="24"/>
          <w:shd w:val="clear" w:color="auto" w:fill="FFFFFF"/>
        </w:rPr>
        <w:t>have been completely rewritten in</w:t>
      </w:r>
      <w:r>
        <w:rPr>
          <w:rFonts w:ascii="Times New Roman" w:hAnsi="Times New Roman" w:cs="Times New Roman"/>
          <w:color w:val="212121"/>
          <w:sz w:val="24"/>
          <w:szCs w:val="24"/>
          <w:shd w:val="clear" w:color="auto" w:fill="FFFFFF"/>
        </w:rPr>
        <w:t xml:space="preserve">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2E539634"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 concern </w:t>
      </w:r>
      <w:r w:rsidR="001B64A8">
        <w:rPr>
          <w:rFonts w:ascii="Times New Roman" w:hAnsi="Times New Roman" w:cs="Times New Roman"/>
          <w:sz w:val="24"/>
          <w:szCs w:val="24"/>
        </w:rPr>
        <w:t>relates to</w:t>
      </w:r>
      <w:r>
        <w:rPr>
          <w:rFonts w:ascii="Times New Roman" w:hAnsi="Times New Roman" w:cs="Times New Roman"/>
          <w:sz w:val="24"/>
          <w:szCs w:val="24"/>
        </w:rPr>
        <w:t xml:space="preserve">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6B4B6591"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w:t>
      </w:r>
      <w:r w:rsidR="001B64A8">
        <w:rPr>
          <w:rFonts w:ascii="Times New Roman" w:hAnsi="Times New Roman" w:cs="Times New Roman"/>
          <w:sz w:val="24"/>
          <w:szCs w:val="24"/>
        </w:rPr>
        <w:t>the timing of municipal policy change ha</w:t>
      </w:r>
      <w:r>
        <w:rPr>
          <w:rFonts w:ascii="Times New Roman" w:hAnsi="Times New Roman" w:cs="Times New Roman"/>
          <w:sz w:val="24"/>
          <w:szCs w:val="24"/>
        </w:rPr>
        <w:t xml:space="preserve">s for both accountability and the underlying mechanisms </w:t>
      </w:r>
      <w:r w:rsidR="00CA2E53">
        <w:rPr>
          <w:rFonts w:ascii="Times New Roman" w:hAnsi="Times New Roman" w:cs="Times New Roman"/>
          <w:sz w:val="24"/>
          <w:szCs w:val="24"/>
        </w:rPr>
        <w:t xml:space="preserve">that produce local responsiveness. We </w:t>
      </w:r>
      <w:r w:rsidR="001B64A8">
        <w:rPr>
          <w:rFonts w:ascii="Times New Roman" w:hAnsi="Times New Roman" w:cs="Times New Roman"/>
          <w:sz w:val="24"/>
          <w:szCs w:val="24"/>
        </w:rPr>
        <w:t>present these discussions</w:t>
      </w:r>
      <w:r w:rsidR="00CA2E53">
        <w:rPr>
          <w:rFonts w:ascii="Times New Roman" w:hAnsi="Times New Roman" w:cs="Times New Roman"/>
          <w:sz w:val="24"/>
          <w:szCs w:val="24"/>
        </w:rPr>
        <w:t xml:space="preserve">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71F7627D" w:rsidR="00221A85" w:rsidRDefault="00E57CF2"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sidR="006816B1">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6816B1">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766C4563" w14:textId="7086A8D6" w:rsidR="00CA2E53" w:rsidRDefault="00E57CF2"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w:t>
      </w:r>
      <w:r w:rsidR="005D18D9">
        <w:rPr>
          <w:rFonts w:ascii="Times New Roman" w:hAnsi="Times New Roman" w:cs="Times New Roman"/>
          <w:sz w:val="24"/>
          <w:szCs w:val="24"/>
        </w:rPr>
        <w:t>s</w:t>
      </w:r>
      <w:r w:rsidR="00221A85" w:rsidRPr="00221A85">
        <w:rPr>
          <w:rFonts w:ascii="Times New Roman" w:hAnsi="Times New Roman" w:cs="Times New Roman"/>
          <w:sz w:val="24"/>
          <w:szCs w:val="24"/>
        </w:rPr>
        <w:t xml:space="preserv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r w:rsidR="00B67573">
        <w:rPr>
          <w:rFonts w:ascii="Times New Roman" w:hAnsi="Times New Roman" w:cs="Times New Roman"/>
          <w:sz w:val="24"/>
          <w:szCs w:val="24"/>
        </w:rPr>
        <w:t xml:space="preserve"> </w:t>
      </w:r>
      <w:r w:rsidR="00CA2E53">
        <w:rPr>
          <w:rFonts w:ascii="Times New Roman" w:hAnsi="Times New Roman" w:cs="Times New Roman"/>
          <w:sz w:val="24"/>
          <w:szCs w:val="24"/>
        </w:rPr>
        <w:t xml:space="preserve">This change in the focus of the paper is reflected </w:t>
      </w:r>
      <w:r w:rsidR="009359CA">
        <w:rPr>
          <w:rFonts w:ascii="Times New Roman" w:hAnsi="Times New Roman" w:cs="Times New Roman"/>
          <w:sz w:val="24"/>
          <w:szCs w:val="24"/>
        </w:rPr>
        <w:t>throughout the paper.</w:t>
      </w:r>
    </w:p>
    <w:p w14:paraId="0217BA08" w14:textId="7AD7D7A7" w:rsidR="00E57CF2" w:rsidRDefault="009359CA"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However, t</w:t>
      </w:r>
      <w:r w:rsidR="00F748DE">
        <w:rPr>
          <w:rFonts w:ascii="Times New Roman" w:hAnsi="Times New Roman" w:cs="Times New Roman"/>
          <w:sz w:val="24"/>
          <w:szCs w:val="24"/>
        </w:rPr>
        <w:t xml:space="preserve">wo </w:t>
      </w:r>
      <w:r w:rsidR="00E57CF2">
        <w:rPr>
          <w:rFonts w:ascii="Times New Roman" w:hAnsi="Times New Roman" w:cs="Times New Roman"/>
          <w:sz w:val="24"/>
          <w:szCs w:val="24"/>
        </w:rPr>
        <w:t>caveats</w:t>
      </w:r>
      <w:r>
        <w:rPr>
          <w:rFonts w:ascii="Times New Roman" w:hAnsi="Times New Roman" w:cs="Times New Roman"/>
          <w:sz w:val="24"/>
          <w:szCs w:val="24"/>
        </w:rPr>
        <w:t xml:space="preserve"> are important to note before moving on.</w:t>
      </w:r>
      <w:r w:rsidR="00E57CF2">
        <w:rPr>
          <w:rFonts w:ascii="Times New Roman" w:hAnsi="Times New Roman" w:cs="Times New Roman"/>
          <w:sz w:val="24"/>
          <w:szCs w:val="24"/>
        </w:rPr>
        <w:t xml:space="preserve">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w:t>
      </w:r>
      <w:commentRangeStart w:id="1"/>
      <w:r w:rsidR="00E57CF2">
        <w:rPr>
          <w:rFonts w:ascii="Times New Roman" w:hAnsi="Times New Roman" w:cs="Times New Roman"/>
          <w:sz w:val="24"/>
          <w:szCs w:val="24"/>
        </w:rPr>
        <w:t xml:space="preserve">Second, </w:t>
      </w:r>
      <w:r w:rsidR="00F748DE">
        <w:rPr>
          <w:rFonts w:ascii="Times New Roman" w:hAnsi="Times New Roman" w:cs="Times New Roman"/>
          <w:sz w:val="24"/>
          <w:szCs w:val="24"/>
        </w:rPr>
        <w:t>since this is a research note the theoretical discussion has to be quite brief to stay within the Urban Affairs Review word limit. In spite of this, we hope that our revisions satisfies R2, although want to leave him/her with two</w:t>
      </w:r>
      <w:commentRangeEnd w:id="1"/>
      <w:r w:rsidR="00707670">
        <w:rPr>
          <w:rStyle w:val="Kommentarhenvisning"/>
        </w:rPr>
        <w:commentReference w:id="1"/>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addition to this, R2 has some other suggestions.</w:t>
      </w:r>
    </w:p>
    <w:p w14:paraId="155BB69F"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1</w:t>
      </w:r>
      <w:r w:rsidR="00476317" w:rsidRPr="004D6F88">
        <w:rPr>
          <w:rFonts w:ascii="Times New Roman" w:hAnsi="Times New Roman" w:cs="Times New Roman"/>
          <w:i/>
          <w:sz w:val="24"/>
          <w:szCs w:val="24"/>
        </w:rPr>
        <w:t>. The literature review should motivate the authors’ theory rather than simply review what people have argued.  The authors should explain what new insights they bring with their new data.</w:t>
      </w:r>
    </w:p>
    <w:p w14:paraId="7A79A5D5" w14:textId="0145DE5D" w:rsidR="00476317" w:rsidRPr="00476317" w:rsidRDefault="004D6F88"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this comment by the reviewer, we have restructured the literature review, so that we highlight how our data can cast light on new issues—related to the dynamism and adaptiveness—in local responsiveness.</w:t>
      </w:r>
    </w:p>
    <w:p w14:paraId="27DBE5CD"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2</w:t>
      </w:r>
      <w:r w:rsidR="00476317" w:rsidRPr="004D6F88">
        <w:rPr>
          <w:rFonts w:ascii="Times New Roman" w:hAnsi="Times New Roman" w:cs="Times New Roman"/>
          <w:i/>
          <w:sz w:val="24"/>
          <w:szCs w:val="24"/>
        </w:rPr>
        <w:t>. The authors include a lengthy appendix.  However, the additional tests are disjointed and not well motivated in the paper.  The text needs to better detail the problems that the various choices are seeking to address.</w:t>
      </w:r>
    </w:p>
    <w:p w14:paraId="3A0BA20B" w14:textId="40305E59"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address this problem, detailing the implications of our methodological choices, and, in order to present our results more fully, we have included part of the Appendix in the main text.</w:t>
      </w:r>
    </w:p>
    <w:p w14:paraId="6B545F27"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3</w:t>
      </w:r>
      <w:r w:rsidR="00476317" w:rsidRPr="004D6F88">
        <w:rPr>
          <w:rFonts w:ascii="Times New Roman" w:hAnsi="Times New Roman" w:cs="Times New Roman"/>
          <w:i/>
          <w:sz w:val="24"/>
          <w:szCs w:val="24"/>
        </w:rPr>
        <w:t>. Some of the policies included in the fiscal policy index were not well explained.  Co-payment for public services does not seem to be a direct measure of city policy.</w:t>
      </w:r>
    </w:p>
    <w:p w14:paraId="02E88997" w14:textId="77777777" w:rsidR="004C480B" w:rsidRDefault="004C480B" w:rsidP="004C480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thank the reviewer for pointing this out – we realize that we were not clear enough about the specificities of welfare spending in the Danish context. We have added more explanation on page three of the appendix (B). We also spend more words describing some interesting patterns in the distributions of welfare spending in Danish municipalities. </w:t>
      </w:r>
    </w:p>
    <w:p w14:paraId="2DF30746" w14:textId="2F0D96C7" w:rsidR="004C480B" w:rsidRDefault="004C480B" w:rsidP="004C480B">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One factor is particularly important to point out: In Danish municipalities </w:t>
      </w:r>
      <w:r w:rsidRPr="00120170">
        <w:rPr>
          <w:rFonts w:ascii="Times New Roman" w:hAnsi="Times New Roman" w:cs="Times New Roman"/>
          <w:color w:val="212121"/>
          <w:sz w:val="24"/>
          <w:szCs w:val="24"/>
          <w:shd w:val="clear" w:color="auto" w:fill="FFFFFF"/>
        </w:rPr>
        <w:t xml:space="preserve">day care, </w:t>
      </w:r>
      <w:r>
        <w:rPr>
          <w:rFonts w:ascii="Times New Roman" w:hAnsi="Times New Roman" w:cs="Times New Roman"/>
          <w:color w:val="212121"/>
          <w:sz w:val="24"/>
          <w:szCs w:val="24"/>
          <w:shd w:val="clear" w:color="auto" w:fill="FFFFFF"/>
        </w:rPr>
        <w:t>relief stays, food deliveries</w:t>
      </w:r>
      <w:r w:rsidRPr="00120170">
        <w:rPr>
          <w:rFonts w:ascii="Times New Roman" w:hAnsi="Times New Roman" w:cs="Times New Roman"/>
          <w:color w:val="212121"/>
          <w:sz w:val="24"/>
          <w:szCs w:val="24"/>
          <w:shd w:val="clear" w:color="auto" w:fill="FFFFFF"/>
        </w:rPr>
        <w:t>, and stay</w:t>
      </w:r>
      <w:r>
        <w:rPr>
          <w:rFonts w:ascii="Times New Roman" w:hAnsi="Times New Roman" w:cs="Times New Roman"/>
          <w:color w:val="212121"/>
          <w:sz w:val="24"/>
          <w:szCs w:val="24"/>
          <w:shd w:val="clear" w:color="auto" w:fill="FFFFFF"/>
        </w:rPr>
        <w:t>s</w:t>
      </w:r>
      <w:r w:rsidRPr="00120170">
        <w:rPr>
          <w:rFonts w:ascii="Times New Roman" w:hAnsi="Times New Roman" w:cs="Times New Roman"/>
          <w:color w:val="212121"/>
          <w:sz w:val="24"/>
          <w:szCs w:val="24"/>
          <w:shd w:val="clear" w:color="auto" w:fill="FFFFFF"/>
        </w:rPr>
        <w:t xml:space="preserve"> in nursing home</w:t>
      </w:r>
      <w:r>
        <w:rPr>
          <w:rFonts w:ascii="Times New Roman" w:hAnsi="Times New Roman" w:cs="Times New Roman"/>
          <w:color w:val="212121"/>
          <w:sz w:val="24"/>
          <w:szCs w:val="24"/>
          <w:shd w:val="clear" w:color="auto" w:fill="FFFFFF"/>
        </w:rPr>
        <w:t xml:space="preserve"> are to a very large degree publicly financed. Therefore, the cost of, for instance, day care or a stay at a nursing home averages to approximately DKK 2,500 (or $379). However, the municipalities themselves choose the</w:t>
      </w:r>
      <w:r w:rsidR="002C614B">
        <w:rPr>
          <w:rFonts w:ascii="Times New Roman" w:hAnsi="Times New Roman" w:cs="Times New Roman"/>
          <w:color w:val="212121"/>
          <w:sz w:val="24"/>
          <w:szCs w:val="24"/>
          <w:shd w:val="clear" w:color="auto" w:fill="FFFFFF"/>
        </w:rPr>
        <w:t xml:space="preserve"> maximum co-pay</w:t>
      </w:r>
      <w:r>
        <w:rPr>
          <w:rFonts w:ascii="Times New Roman" w:hAnsi="Times New Roman" w:cs="Times New Roman"/>
          <w:color w:val="212121"/>
          <w:sz w:val="24"/>
          <w:szCs w:val="24"/>
          <w:shd w:val="clear" w:color="auto" w:fill="FFFFFF"/>
        </w:rPr>
        <w:t xml:space="preserve"> </w:t>
      </w:r>
      <w:r w:rsidR="002C614B">
        <w:rPr>
          <w:rFonts w:ascii="Times New Roman" w:hAnsi="Times New Roman" w:cs="Times New Roman"/>
          <w:color w:val="212121"/>
          <w:sz w:val="24"/>
          <w:szCs w:val="24"/>
          <w:shd w:val="clear" w:color="auto" w:fill="FFFFFF"/>
        </w:rPr>
        <w:t>(i.e. the l</w:t>
      </w:r>
      <w:r>
        <w:rPr>
          <w:rFonts w:ascii="Times New Roman" w:hAnsi="Times New Roman" w:cs="Times New Roman"/>
          <w:color w:val="212121"/>
          <w:sz w:val="24"/>
          <w:szCs w:val="24"/>
          <w:shd w:val="clear" w:color="auto" w:fill="FFFFFF"/>
        </w:rPr>
        <w:t>evel of public funding</w:t>
      </w:r>
      <w:r w:rsidR="002C614B">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Because of this, the main reason why these prices vary across municipalities and time is that local politicians choose to spend more or less public money on those partly public services. Therefore, the prices of these services are important to any measure of fiscal conservatism in a Danish context. This is not a general feature of non-Scandinavian welfare systems, but we note that the results maintain without including these items in the measure of fiscal conservatism.</w:t>
      </w:r>
    </w:p>
    <w:p w14:paraId="046193EE" w14:textId="77777777" w:rsidR="004C480B" w:rsidRDefault="004C480B" w:rsidP="00476317">
      <w:pPr>
        <w:spacing w:line="276" w:lineRule="auto"/>
        <w:jc w:val="both"/>
        <w:rPr>
          <w:rFonts w:ascii="Times New Roman" w:hAnsi="Times New Roman" w:cs="Times New Roman"/>
          <w:sz w:val="24"/>
          <w:szCs w:val="24"/>
        </w:rPr>
      </w:pPr>
    </w:p>
    <w:p w14:paraId="2B937236" w14:textId="375E0DCF"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sidRPr="00222612">
        <w:rPr>
          <w:rFonts w:ascii="Times New Roman" w:hAnsi="Times New Roman" w:cs="Times New Roman"/>
          <w:i/>
          <w:sz w:val="24"/>
          <w:szCs w:val="24"/>
        </w:rPr>
        <w:t>. The paper needs to include a longer discussion of generalizability of Danish cities.  It is possible that we want to know about Danish cities just for the sake of knowing about Danish cities, but I was not convinced.</w:t>
      </w:r>
    </w:p>
    <w:p w14:paraId="50CE4564" w14:textId="77777777" w:rsidR="00222612" w:rsidRDefault="00222612" w:rsidP="002226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the reviewer, that we did not adequately address this issue in the original manuscript. We have tried to address these concerns, especially in terms of adding some context about how Danish municipalities differ from those in other countries, and what this means for inference. We discuss this in the conclusion of the revised manuscript.</w:t>
      </w:r>
    </w:p>
    <w:p w14:paraId="1448DDE1" w14:textId="77777777" w:rsidR="00222612" w:rsidRDefault="00222612" w:rsidP="003E4F2C">
      <w:pPr>
        <w:spacing w:line="276" w:lineRule="auto"/>
        <w:ind w:firstLine="720"/>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lastRenderedPageBreak/>
        <w:t xml:space="preserve">In terms, of why we study Danish municipalities, in the revised manuscript we argue that </w:t>
      </w:r>
      <w:r>
        <w:rPr>
          <w:rFonts w:ascii="Times New Roman" w:hAnsi="Times New Roman" w:cs="Times New Roman"/>
          <w:sz w:val="24"/>
          <w:szCs w:val="24"/>
        </w:rPr>
        <w:t>even though t</w:t>
      </w:r>
      <w:r w:rsidRPr="0059763C">
        <w:rPr>
          <w:rFonts w:ascii="Times New Roman" w:hAnsi="Times New Roman" w:cs="Times New Roman"/>
          <w:sz w:val="24"/>
          <w:szCs w:val="24"/>
        </w:rPr>
        <w:t>he Danish case cannot be seen as</w:t>
      </w:r>
      <w:r>
        <w:rPr>
          <w:rFonts w:ascii="Times New Roman" w:hAnsi="Times New Roman" w:cs="Times New Roman"/>
          <w:sz w:val="24"/>
          <w:szCs w:val="24"/>
        </w:rPr>
        <w:t xml:space="preserve"> especially typical or atypical</w:t>
      </w:r>
      <w:r w:rsidRPr="0059763C">
        <w:rPr>
          <w:rFonts w:ascii="Times New Roman" w:hAnsi="Times New Roman" w:cs="Times New Roman"/>
          <w:sz w:val="24"/>
          <w:szCs w:val="24"/>
        </w:rPr>
        <w:t xml:space="preserve">, we </w:t>
      </w:r>
      <w:r>
        <w:rPr>
          <w:rFonts w:ascii="Times New Roman" w:hAnsi="Times New Roman" w:cs="Times New Roman"/>
          <w:sz w:val="24"/>
          <w:szCs w:val="24"/>
        </w:rPr>
        <w:t>believe</w:t>
      </w:r>
      <w:r w:rsidRPr="0059763C">
        <w:rPr>
          <w:rFonts w:ascii="Times New Roman" w:hAnsi="Times New Roman" w:cs="Times New Roman"/>
          <w:sz w:val="24"/>
          <w:szCs w:val="24"/>
        </w:rPr>
        <w:t xml:space="preserve"> Danish municipalities are a critical case. </w:t>
      </w:r>
      <w:r>
        <w:rPr>
          <w:rFonts w:ascii="Times New Roman" w:hAnsi="Times New Roman" w:cs="Times New Roman"/>
          <w:sz w:val="24"/>
          <w:szCs w:val="24"/>
        </w:rPr>
        <w:t>It is a particularly interesting</w:t>
      </w:r>
      <w:r w:rsidRPr="0059763C">
        <w:rPr>
          <w:rFonts w:ascii="Times New Roman" w:hAnsi="Times New Roman" w:cs="Times New Roman"/>
          <w:sz w:val="24"/>
          <w:szCs w:val="24"/>
        </w:rPr>
        <w:t xml:space="preserve"> case for those </w:t>
      </w:r>
      <w:r>
        <w:rPr>
          <w:rFonts w:ascii="Times New Roman" w:hAnsi="Times New Roman" w:cs="Times New Roman"/>
          <w:sz w:val="24"/>
          <w:szCs w:val="24"/>
        </w:rPr>
        <w:t>concerned with</w:t>
      </w:r>
      <w:r w:rsidRPr="0059763C">
        <w:rPr>
          <w:rFonts w:ascii="Times New Roman" w:hAnsi="Times New Roman" w:cs="Times New Roman"/>
          <w:sz w:val="24"/>
          <w:szCs w:val="24"/>
        </w:rPr>
        <w:t xml:space="preserve"> the prospects for responsive local governments. </w:t>
      </w:r>
      <w:r>
        <w:rPr>
          <w:rFonts w:ascii="Times New Roman" w:hAnsi="Times New Roman" w:cs="Times New Roman"/>
          <w:sz w:val="24"/>
          <w:szCs w:val="24"/>
        </w:rPr>
        <w:t>M</w:t>
      </w:r>
      <w:r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Pr>
          <w:rFonts w:ascii="Times New Roman" w:hAnsi="Times New Roman" w:cs="Times New Roman"/>
          <w:sz w:val="24"/>
          <w:szCs w:val="24"/>
        </w:rPr>
        <w:t>ally democratically problematic. We make this argument in the section “Empirical Context”.</w:t>
      </w:r>
    </w:p>
    <w:p w14:paraId="4A74BE54" w14:textId="77777777" w:rsidR="00222612" w:rsidRDefault="00222612" w:rsidP="00222612">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forcing us to think harder on the question of case selection.</w:t>
      </w:r>
    </w:p>
    <w:p w14:paraId="52914B0C" w14:textId="239807B6" w:rsidR="00476317" w:rsidRDefault="00476317">
      <w:pPr>
        <w:rPr>
          <w:rFonts w:ascii="Times New Roman" w:hAnsi="Times New Roman" w:cs="Times New Roman"/>
          <w:sz w:val="24"/>
          <w:szCs w:val="24"/>
        </w:rPr>
      </w:pPr>
    </w:p>
    <w:p w14:paraId="1A6C88F1" w14:textId="77777777" w:rsidR="00222612" w:rsidRDefault="00222612">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lastRenderedPageBreak/>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3A53428A" w:rsidR="003933E8" w:rsidRDefault="003933E8"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on the items as well. While all items are mean centered and variance standardized before being used to estimate fiscal conservatism,</w:t>
      </w:r>
      <w:r w:rsidR="00F243C8">
        <w:rPr>
          <w:rFonts w:ascii="Times New Roman" w:hAnsi="Times New Roman" w:cs="Times New Roman"/>
          <w:sz w:val="24"/>
          <w:szCs w:val="24"/>
        </w:rPr>
        <w:t xml:space="preserve"> they are presented in non-standardized form in Table B2.</w:t>
      </w:r>
      <w:r w:rsidR="00896715">
        <w:rPr>
          <w:rFonts w:ascii="Times New Roman" w:hAnsi="Times New Roman" w:cs="Times New Roman"/>
          <w:sz w:val="24"/>
          <w:szCs w:val="24"/>
        </w:rPr>
        <w:t xml:space="preserve"> T</w:t>
      </w:r>
      <w:r>
        <w:rPr>
          <w:rFonts w:ascii="Times New Roman" w:hAnsi="Times New Roman" w:cs="Times New Roman"/>
          <w:sz w:val="24"/>
          <w:szCs w:val="24"/>
        </w:rPr>
        <w:t xml:space="preserve">his allows the reader to inspect key characteristics of municipal fiscal policy. </w:t>
      </w:r>
    </w:p>
    <w:p w14:paraId="272C81E6" w14:textId="71801F41" w:rsidR="00417158" w:rsidRDefault="00417158" w:rsidP="00417158">
      <w:pPr>
        <w:pStyle w:val="Opstilling-talellerbogst"/>
        <w:numPr>
          <w:ilvl w:val="0"/>
          <w:numId w:val="0"/>
        </w:numPr>
        <w:ind w:left="360" w:hanging="360"/>
        <w:rPr>
          <w:rFonts w:ascii="Times New Roman" w:hAnsi="Times New Roman" w:cs="Times New Roman"/>
          <w:sz w:val="24"/>
          <w:szCs w:val="24"/>
        </w:rPr>
      </w:pPr>
    </w:p>
    <w:p w14:paraId="5115FED9" w14:textId="77777777" w:rsidR="00C40474" w:rsidRPr="00417158" w:rsidRDefault="00C40474" w:rsidP="00476317">
      <w:pPr>
        <w:rPr>
          <w:rFonts w:ascii="Times New Roman" w:hAnsi="Times New Roman" w:cs="Times New Roman"/>
          <w:color w:val="212121"/>
          <w:sz w:val="24"/>
          <w:szCs w:val="24"/>
          <w:shd w:val="clear" w:color="auto" w:fill="FFFFFF"/>
        </w:rPr>
      </w:pPr>
    </w:p>
    <w:p w14:paraId="171C3701" w14:textId="46A1339A" w:rsidR="00476317" w:rsidRPr="00A2059F" w:rsidRDefault="00476317" w:rsidP="00476317">
      <w:pPr>
        <w:rPr>
          <w:rFonts w:ascii="Times New Roman" w:hAnsi="Times New Roman" w:cs="Times New Roman"/>
          <w:i/>
          <w:color w:val="212121"/>
          <w:sz w:val="24"/>
          <w:szCs w:val="24"/>
          <w:shd w:val="clear" w:color="auto" w:fill="FFFFFF"/>
        </w:rPr>
      </w:pP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5DC24B28" w:rsidR="00A816EC" w:rsidRPr="002E306C" w:rsidRDefault="00256FA4" w:rsidP="002E306C">
      <w:pPr>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 xml:space="preserve">As noted by the reviewer, many of the items in the full index of fiscal conservatism have missing values </w:t>
      </w:r>
      <w:r w:rsidR="007945DE">
        <w:rPr>
          <w:rFonts w:ascii="Times New Roman" w:hAnsi="Times New Roman" w:cs="Times New Roman"/>
          <w:color w:val="212121"/>
          <w:sz w:val="24"/>
          <w:szCs w:val="24"/>
        </w:rPr>
        <w:t>before</w:t>
      </w:r>
      <w:r w:rsidR="00C3700C">
        <w:rPr>
          <w:rFonts w:ascii="Times New Roman" w:hAnsi="Times New Roman" w:cs="Times New Roman"/>
          <w:color w:val="212121"/>
          <w:sz w:val="24"/>
          <w:szCs w:val="24"/>
        </w:rPr>
        <w:t xml:space="preserve"> </w:t>
      </w:r>
      <w:r w:rsidRPr="002E306C">
        <w:rPr>
          <w:rFonts w:ascii="Times New Roman" w:hAnsi="Times New Roman" w:cs="Times New Roman"/>
          <w:color w:val="212121"/>
          <w:sz w:val="24"/>
          <w:szCs w:val="24"/>
        </w:rPr>
        <w:t>1993. To make sure that our results are not driven by bias induced through imputation, we reproduce the results from the full index with a smaller index comprised only of the three variables for which we have complete data for the period.</w:t>
      </w:r>
      <w:r w:rsidR="008D15B2" w:rsidRPr="002E306C">
        <w:rPr>
          <w:rFonts w:ascii="Times New Roman" w:hAnsi="Times New Roman" w:cs="Times New Roman"/>
          <w:color w:val="212121"/>
          <w:sz w:val="24"/>
          <w:szCs w:val="24"/>
        </w:rPr>
        <w:t xml:space="preserve"> These are property tax, income tax and spending per capita.</w:t>
      </w:r>
      <w:r w:rsidR="00842C9F" w:rsidRPr="002E306C">
        <w:rPr>
          <w:rFonts w:ascii="Times New Roman" w:hAnsi="Times New Roman" w:cs="Times New Roman"/>
          <w:color w:val="212121"/>
          <w:sz w:val="24"/>
          <w:szCs w:val="24"/>
        </w:rPr>
        <w:t xml:space="preserve"> On page 10</w:t>
      </w:r>
      <w:r w:rsidR="009F57C1" w:rsidRPr="002E306C">
        <w:rPr>
          <w:rFonts w:ascii="Times New Roman" w:hAnsi="Times New Roman" w:cs="Times New Roman"/>
          <w:color w:val="212121"/>
          <w:sz w:val="24"/>
          <w:szCs w:val="24"/>
        </w:rPr>
        <w:t xml:space="preserve"> of the revised</w:t>
      </w:r>
      <w:r w:rsidR="00842C9F" w:rsidRPr="002E306C">
        <w:rPr>
          <w:rFonts w:ascii="Times New Roman" w:hAnsi="Times New Roman" w:cs="Times New Roman"/>
          <w:color w:val="212121"/>
          <w:sz w:val="24"/>
          <w:szCs w:val="24"/>
        </w:rPr>
        <w:t>, we</w:t>
      </w:r>
      <w:r w:rsidR="009F57C1" w:rsidRPr="002E306C">
        <w:rPr>
          <w:rFonts w:ascii="Times New Roman" w:hAnsi="Times New Roman" w:cs="Times New Roman"/>
          <w:color w:val="212121"/>
          <w:sz w:val="24"/>
          <w:szCs w:val="24"/>
        </w:rPr>
        <w:t xml:space="preserve"> have added a clarification of</w:t>
      </w:r>
      <w:r w:rsidR="00842C9F" w:rsidRPr="002E306C">
        <w:rPr>
          <w:rFonts w:ascii="Times New Roman" w:hAnsi="Times New Roman" w:cs="Times New Roman"/>
          <w:color w:val="212121"/>
          <w:sz w:val="24"/>
          <w:szCs w:val="24"/>
        </w:rPr>
        <w:t xml:space="preserve"> why we conduct this robustness check.</w:t>
      </w:r>
      <w:r w:rsidRPr="002E306C">
        <w:rPr>
          <w:rFonts w:ascii="Times New Roman" w:hAnsi="Times New Roman" w:cs="Times New Roman"/>
          <w:color w:val="212121"/>
          <w:sz w:val="24"/>
          <w:szCs w:val="24"/>
        </w:rPr>
        <w:t xml:space="preserve"> </w:t>
      </w:r>
    </w:p>
    <w:p w14:paraId="69C04768" w14:textId="5B34CAA1" w:rsidR="00A816EC" w:rsidRPr="002E306C" w:rsidRDefault="006A50A0" w:rsidP="002E306C">
      <w:pPr>
        <w:spacing w:after="200"/>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2E306C">
        <w:rPr>
          <w:rFonts w:ascii="Times New Roman" w:hAnsi="Times New Roman" w:cs="Times New Roman"/>
          <w:color w:val="212121"/>
          <w:sz w:val="24"/>
          <w:szCs w:val="24"/>
        </w:rPr>
        <w:t xml:space="preserve">estimation itself. </w:t>
      </w:r>
      <w:r w:rsidR="00FD4F3E" w:rsidRPr="002E306C">
        <w:rPr>
          <w:rFonts w:ascii="Times New Roman" w:hAnsi="Times New Roman" w:cs="Times New Roman"/>
          <w:color w:val="212121"/>
          <w:sz w:val="24"/>
          <w:szCs w:val="24"/>
        </w:rPr>
        <w:t xml:space="preserve">The benefit </w:t>
      </w:r>
      <w:r w:rsidR="00FD4F3E" w:rsidRPr="002E306C">
        <w:rPr>
          <w:rFonts w:ascii="Times New Roman" w:hAnsi="Times New Roman" w:cs="Times New Roman"/>
          <w:color w:val="212121"/>
          <w:sz w:val="24"/>
          <w:szCs w:val="24"/>
        </w:rPr>
        <w:lastRenderedPageBreak/>
        <w:t>of this approach over</w:t>
      </w:r>
      <w:r w:rsidR="00D67420" w:rsidRPr="002E306C">
        <w:rPr>
          <w:rFonts w:ascii="Times New Roman" w:hAnsi="Times New Roman" w:cs="Times New Roman"/>
          <w:color w:val="212121"/>
          <w:sz w:val="24"/>
          <w:szCs w:val="24"/>
        </w:rPr>
        <w:t>, e.g.,</w:t>
      </w:r>
      <w:r w:rsidR="00FD4F3E" w:rsidRPr="002E306C">
        <w:rPr>
          <w:rFonts w:ascii="Times New Roman" w:hAnsi="Times New Roman" w:cs="Times New Roman"/>
          <w:color w:val="212121"/>
          <w:sz w:val="24"/>
          <w:szCs w:val="24"/>
        </w:rPr>
        <w:t xml:space="preserve"> frequentist factor analysis is that </w:t>
      </w:r>
      <w:r w:rsidR="00D67420" w:rsidRPr="002E306C">
        <w:rPr>
          <w:rFonts w:ascii="Times New Roman" w:hAnsi="Times New Roman" w:cs="Times New Roman"/>
          <w:color w:val="212121"/>
          <w:sz w:val="24"/>
          <w:szCs w:val="24"/>
        </w:rPr>
        <w:t>we can make use of i</w:t>
      </w:r>
      <w:r w:rsidR="005C55A2" w:rsidRPr="002E306C">
        <w:rPr>
          <w:rFonts w:ascii="Times New Roman" w:hAnsi="Times New Roman" w:cs="Times New Roman"/>
          <w:color w:val="212121"/>
          <w:sz w:val="24"/>
          <w:szCs w:val="24"/>
        </w:rPr>
        <w:t>ndicators with missing values</w:t>
      </w:r>
      <w:r w:rsidR="00D67420" w:rsidRPr="002E306C">
        <w:rPr>
          <w:rFonts w:ascii="Times New Roman" w:hAnsi="Times New Roman" w:cs="Times New Roman"/>
          <w:color w:val="212121"/>
          <w:sz w:val="24"/>
          <w:szCs w:val="24"/>
        </w:rPr>
        <w:t xml:space="preserve"> during different years </w:t>
      </w:r>
      <w:r w:rsidR="005C55A2" w:rsidRPr="002E306C">
        <w:rPr>
          <w:rFonts w:ascii="Times New Roman" w:hAnsi="Times New Roman" w:cs="Times New Roman"/>
          <w:color w:val="212121"/>
          <w:sz w:val="24"/>
          <w:szCs w:val="24"/>
        </w:rPr>
        <w:t xml:space="preserve">in </w:t>
      </w:r>
      <w:r w:rsidR="00D67420" w:rsidRPr="002E306C">
        <w:rPr>
          <w:rFonts w:ascii="Times New Roman" w:hAnsi="Times New Roman" w:cs="Times New Roman"/>
          <w:color w:val="212121"/>
          <w:sz w:val="24"/>
          <w:szCs w:val="24"/>
        </w:rPr>
        <w:t>the same m</w:t>
      </w:r>
      <w:r w:rsidR="005C55A2" w:rsidRPr="002E306C">
        <w:rPr>
          <w:rFonts w:ascii="Times New Roman" w:hAnsi="Times New Roman" w:cs="Times New Roman"/>
          <w:color w:val="212121"/>
          <w:sz w:val="24"/>
          <w:szCs w:val="24"/>
        </w:rPr>
        <w:t>easure</w:t>
      </w:r>
      <w:r w:rsidR="00D67420" w:rsidRPr="002E306C">
        <w:rPr>
          <w:rFonts w:ascii="Times New Roman" w:hAnsi="Times New Roman" w:cs="Times New Roman"/>
          <w:color w:val="212121"/>
          <w:sz w:val="24"/>
          <w:szCs w:val="24"/>
        </w:rPr>
        <w:t>. The benefit over first imputing the data and then constructing the index is that the</w:t>
      </w:r>
      <w:r w:rsidR="005C55A2" w:rsidRPr="002E306C">
        <w:rPr>
          <w:rFonts w:ascii="Times New Roman" w:hAnsi="Times New Roman" w:cs="Times New Roman"/>
          <w:color w:val="212121"/>
          <w:sz w:val="24"/>
          <w:szCs w:val="24"/>
        </w:rPr>
        <w:t xml:space="preserve"> Bayesian technique puts less weight on</w:t>
      </w:r>
      <w:r w:rsidR="00D67420" w:rsidRPr="002E306C">
        <w:rPr>
          <w:rFonts w:ascii="Times New Roman" w:hAnsi="Times New Roman" w:cs="Times New Roman"/>
          <w:color w:val="212121"/>
          <w:sz w:val="24"/>
          <w:szCs w:val="24"/>
        </w:rPr>
        <w:t xml:space="preserve"> items during the years, where data on them are missing.</w:t>
      </w:r>
      <w:r w:rsidR="00FD4F3E" w:rsidRPr="002E306C">
        <w:rPr>
          <w:rFonts w:ascii="Times New Roman" w:hAnsi="Times New Roman" w:cs="Times New Roman"/>
          <w:color w:val="212121"/>
          <w:sz w:val="24"/>
          <w:szCs w:val="24"/>
        </w:rPr>
        <w:t xml:space="preserve"> </w:t>
      </w:r>
      <w:r w:rsidR="00D144ED" w:rsidRPr="002E306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2E306C">
        <w:rPr>
          <w:rFonts w:ascii="Times New Roman" w:hAnsi="Times New Roman" w:cs="Times New Roman"/>
          <w:color w:val="212121"/>
          <w:sz w:val="24"/>
          <w:szCs w:val="24"/>
        </w:rPr>
        <w:t xml:space="preserve"> </w:t>
      </w:r>
      <w:r w:rsidR="003B4666" w:rsidRPr="002E306C">
        <w:rPr>
          <w:rFonts w:ascii="Times New Roman" w:hAnsi="Times New Roman" w:cs="Times New Roman"/>
          <w:color w:val="212121"/>
          <w:sz w:val="24"/>
          <w:szCs w:val="24"/>
        </w:rPr>
        <w:t>On page 6 of the revised manuscript, we have sought to bring more clarity to this part of the procedure.</w:t>
      </w:r>
    </w:p>
    <w:p w14:paraId="5ADAB017" w14:textId="77777777" w:rsidR="002E306C" w:rsidRDefault="003B4666" w:rsidP="0097585D">
      <w:pPr>
        <w:spacing w:after="200"/>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2E306C">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2E306C">
        <w:rPr>
          <w:rFonts w:ascii="Times New Roman" w:hAnsi="Times New Roman" w:cs="Times New Roman"/>
          <w:color w:val="212121"/>
          <w:sz w:val="24"/>
          <w:szCs w:val="24"/>
        </w:rPr>
        <w:t>is</w:t>
      </w:r>
      <w:r w:rsidR="00303ABA" w:rsidRPr="002E306C">
        <w:rPr>
          <w:rFonts w:ascii="Times New Roman" w:hAnsi="Times New Roman" w:cs="Times New Roman"/>
          <w:color w:val="212121"/>
          <w:sz w:val="24"/>
          <w:szCs w:val="24"/>
        </w:rPr>
        <w:t xml:space="preserve"> estimated with quite a lot of noise</w:t>
      </w:r>
      <w:r w:rsidR="0030551C" w:rsidRPr="002E306C">
        <w:rPr>
          <w:rFonts w:ascii="Times New Roman" w:hAnsi="Times New Roman" w:cs="Times New Roman"/>
          <w:color w:val="212121"/>
          <w:sz w:val="24"/>
          <w:szCs w:val="24"/>
        </w:rPr>
        <w:t xml:space="preserve"> and therefore does not reach standard levels of statistical significance it itself</w:t>
      </w:r>
      <w:r w:rsidR="00303ABA" w:rsidRPr="002E306C">
        <w:rPr>
          <w:rFonts w:ascii="Times New Roman" w:hAnsi="Times New Roman" w:cs="Times New Roman"/>
          <w:color w:val="212121"/>
          <w:sz w:val="24"/>
          <w:szCs w:val="24"/>
        </w:rPr>
        <w:t>.</w:t>
      </w:r>
      <w:r w:rsidR="00BA0D8B" w:rsidRPr="002E306C">
        <w:rPr>
          <w:rFonts w:ascii="Times New Roman" w:hAnsi="Times New Roman" w:cs="Times New Roman"/>
          <w:color w:val="212121"/>
          <w:sz w:val="24"/>
          <w:szCs w:val="24"/>
        </w:rPr>
        <w:t xml:space="preserve"> </w:t>
      </w:r>
    </w:p>
    <w:p w14:paraId="11D471C2" w14:textId="01CA2829" w:rsidR="00A2059F" w:rsidRDefault="00BA0D8B" w:rsidP="002E306C">
      <w:pPr>
        <w:spacing w:after="200"/>
        <w:ind w:firstLine="720"/>
        <w:rPr>
          <w:rFonts w:ascii="Times New Roman" w:hAnsi="Times New Roman" w:cs="Times New Roman"/>
          <w:color w:val="212121"/>
          <w:sz w:val="24"/>
          <w:szCs w:val="24"/>
        </w:rPr>
      </w:pPr>
      <w:r w:rsidRPr="002E306C">
        <w:rPr>
          <w:rFonts w:ascii="Times New Roman" w:hAnsi="Times New Roman" w:cs="Times New Roman"/>
          <w:color w:val="212121"/>
          <w:sz w:val="24"/>
          <w:szCs w:val="24"/>
        </w:rPr>
        <w:t>In that sense, the combined measure of fiscal conservatism becomes more than the sum of its parts</w:t>
      </w:r>
      <w:r w:rsidR="007D7AA6" w:rsidRPr="002E306C">
        <w:rPr>
          <w:rFonts w:ascii="Times New Roman" w:hAnsi="Times New Roman" w:cs="Times New Roman"/>
          <w:color w:val="212121"/>
          <w:sz w:val="24"/>
          <w:szCs w:val="24"/>
        </w:rPr>
        <w:t>. This is in part,</w:t>
      </w:r>
      <w:r w:rsidR="001E6F16" w:rsidRPr="002E306C">
        <w:rPr>
          <w:rFonts w:ascii="Times New Roman" w:hAnsi="Times New Roman" w:cs="Times New Roman"/>
          <w:color w:val="212121"/>
          <w:sz w:val="24"/>
          <w:szCs w:val="24"/>
        </w:rPr>
        <w:t xml:space="preserve"> because the Bayesian estimation</w:t>
      </w:r>
      <w:r w:rsidR="007D7AA6" w:rsidRPr="002E306C">
        <w:rPr>
          <w:rFonts w:ascii="Times New Roman" w:hAnsi="Times New Roman" w:cs="Times New Roman"/>
          <w:color w:val="212121"/>
          <w:sz w:val="24"/>
          <w:szCs w:val="24"/>
        </w:rPr>
        <w:t xml:space="preserve"> technique</w:t>
      </w:r>
      <w:r w:rsidR="001E6F16" w:rsidRPr="002E306C">
        <w:rPr>
          <w:rFonts w:ascii="Times New Roman" w:hAnsi="Times New Roman" w:cs="Times New Roman"/>
          <w:color w:val="212121"/>
          <w:sz w:val="24"/>
          <w:szCs w:val="24"/>
        </w:rPr>
        <w:t xml:space="preserve"> allows us to use</w:t>
      </w:r>
      <w:r w:rsidR="0030551C" w:rsidRPr="002E306C">
        <w:rPr>
          <w:rFonts w:ascii="Times New Roman" w:hAnsi="Times New Roman" w:cs="Times New Roman"/>
          <w:color w:val="212121"/>
          <w:sz w:val="24"/>
          <w:szCs w:val="24"/>
        </w:rPr>
        <w:t xml:space="preserve"> information from </w:t>
      </w:r>
      <w:r w:rsidR="007D7AA6" w:rsidRPr="002E306C">
        <w:rPr>
          <w:rFonts w:ascii="Times New Roman" w:hAnsi="Times New Roman" w:cs="Times New Roman"/>
          <w:color w:val="212121"/>
          <w:sz w:val="24"/>
          <w:szCs w:val="24"/>
        </w:rPr>
        <w:t xml:space="preserve">variables that – like the price of nursing homes – </w:t>
      </w:r>
      <w:r w:rsidR="008C603A" w:rsidRPr="002E306C">
        <w:rPr>
          <w:rFonts w:ascii="Times New Roman" w:hAnsi="Times New Roman" w:cs="Times New Roman"/>
          <w:color w:val="212121"/>
          <w:sz w:val="24"/>
          <w:szCs w:val="24"/>
        </w:rPr>
        <w:t>would not allow us to draw</w:t>
      </w:r>
      <w:r w:rsidR="007D7AA6" w:rsidRPr="002E306C">
        <w:rPr>
          <w:rFonts w:ascii="Times New Roman" w:hAnsi="Times New Roman" w:cs="Times New Roman"/>
          <w:color w:val="212121"/>
          <w:sz w:val="24"/>
          <w:szCs w:val="24"/>
        </w:rPr>
        <w:t xml:space="preserve"> any</w:t>
      </w:r>
      <w:r w:rsidR="008C603A" w:rsidRPr="002E306C">
        <w:rPr>
          <w:rFonts w:ascii="Times New Roman" w:hAnsi="Times New Roman" w:cs="Times New Roman"/>
          <w:color w:val="212121"/>
          <w:sz w:val="24"/>
          <w:szCs w:val="24"/>
        </w:rPr>
        <w:t xml:space="preserve"> firm</w:t>
      </w:r>
      <w:r w:rsidR="007D7AA6" w:rsidRPr="002E306C">
        <w:rPr>
          <w:rFonts w:ascii="Times New Roman" w:hAnsi="Times New Roman" w:cs="Times New Roman"/>
          <w:color w:val="212121"/>
          <w:sz w:val="24"/>
          <w:szCs w:val="24"/>
        </w:rPr>
        <w:t xml:space="preserve"> conclusions, but still </w:t>
      </w:r>
      <w:r w:rsidR="00920591" w:rsidRPr="002E306C">
        <w:rPr>
          <w:rFonts w:ascii="Times New Roman" w:hAnsi="Times New Roman" w:cs="Times New Roman"/>
          <w:color w:val="212121"/>
          <w:sz w:val="24"/>
          <w:szCs w:val="24"/>
        </w:rPr>
        <w:t>are valuable in conjunction with other information on municipal fiscal policy.</w:t>
      </w:r>
    </w:p>
    <w:p w14:paraId="0C80A6D1" w14:textId="41185106" w:rsidR="009C7792" w:rsidRDefault="009C7792" w:rsidP="009C7792">
      <w:pPr>
        <w:ind w:firstLine="720"/>
        <w:rPr>
          <w:rFonts w:ascii="Times New Roman" w:hAnsi="Times New Roman" w:cs="Times New Roman"/>
          <w:color w:val="212121"/>
          <w:sz w:val="24"/>
          <w:szCs w:val="24"/>
          <w:shd w:val="clear" w:color="auto" w:fill="FFFFFF"/>
        </w:rPr>
      </w:pPr>
      <w:r w:rsidRPr="00417158">
        <w:rPr>
          <w:rFonts w:ascii="Times New Roman" w:hAnsi="Times New Roman" w:cs="Times New Roman"/>
          <w:color w:val="212121"/>
          <w:sz w:val="24"/>
          <w:szCs w:val="24"/>
          <w:shd w:val="clear" w:color="auto" w:fill="FFFFFF"/>
        </w:rPr>
        <w:t>We</w:t>
      </w:r>
      <w:r>
        <w:rPr>
          <w:rFonts w:ascii="Times New Roman" w:hAnsi="Times New Roman" w:cs="Times New Roman"/>
          <w:color w:val="212121"/>
          <w:sz w:val="24"/>
          <w:szCs w:val="24"/>
          <w:shd w:val="clear" w:color="auto" w:fill="FFFFFF"/>
        </w:rPr>
        <w:t xml:space="preserve"> want to</w:t>
      </w:r>
      <w:r w:rsidRPr="00417158">
        <w:rPr>
          <w:rFonts w:ascii="Times New Roman" w:hAnsi="Times New Roman" w:cs="Times New Roman"/>
          <w:color w:val="212121"/>
          <w:sz w:val="24"/>
          <w:szCs w:val="24"/>
          <w:shd w:val="clear" w:color="auto" w:fill="FFFFFF"/>
        </w:rPr>
        <w:t xml:space="preserve"> thank R3 for forcing us to be more transparent about</w:t>
      </w:r>
      <w:r>
        <w:rPr>
          <w:rFonts w:ascii="Times New Roman" w:hAnsi="Times New Roman" w:cs="Times New Roman"/>
          <w:color w:val="212121"/>
          <w:sz w:val="24"/>
          <w:szCs w:val="24"/>
          <w:shd w:val="clear" w:color="auto" w:fill="FFFFFF"/>
        </w:rPr>
        <w:t xml:space="preserve"> how we construct</w:t>
      </w:r>
      <w:r w:rsidRPr="00417158">
        <w:rPr>
          <w:rFonts w:ascii="Times New Roman" w:hAnsi="Times New Roman" w:cs="Times New Roman"/>
          <w:color w:val="212121"/>
          <w:sz w:val="24"/>
          <w:szCs w:val="24"/>
          <w:shd w:val="clear" w:color="auto" w:fill="FFFFFF"/>
        </w:rPr>
        <w:t xml:space="preserve"> our measure of fiscal policy conservatism and the data that goes into it.</w:t>
      </w:r>
      <w:r w:rsidR="00EE6BAA">
        <w:rPr>
          <w:rFonts w:ascii="Times New Roman" w:hAnsi="Times New Roman" w:cs="Times New Roman"/>
          <w:color w:val="212121"/>
          <w:sz w:val="24"/>
          <w:szCs w:val="24"/>
          <w:shd w:val="clear" w:color="auto" w:fill="FFFFFF"/>
        </w:rPr>
        <w:t xml:space="preserve"> This goes </w:t>
      </w:r>
      <w:r w:rsidR="00EE51AE">
        <w:rPr>
          <w:rFonts w:ascii="Times New Roman" w:hAnsi="Times New Roman" w:cs="Times New Roman"/>
          <w:color w:val="212121"/>
          <w:sz w:val="24"/>
          <w:szCs w:val="24"/>
          <w:shd w:val="clear" w:color="auto" w:fill="FFFFFF"/>
        </w:rPr>
        <w:t>for the</w:t>
      </w:r>
      <w:r w:rsidR="00EE6BAA">
        <w:rPr>
          <w:rFonts w:ascii="Times New Roman" w:hAnsi="Times New Roman" w:cs="Times New Roman"/>
          <w:color w:val="212121"/>
          <w:sz w:val="24"/>
          <w:szCs w:val="24"/>
          <w:shd w:val="clear" w:color="auto" w:fill="FFFFFF"/>
        </w:rPr>
        <w:t xml:space="preserve"> reviewer’s</w:t>
      </w:r>
      <w:r w:rsidR="00EE51AE">
        <w:rPr>
          <w:rFonts w:ascii="Times New Roman" w:hAnsi="Times New Roman" w:cs="Times New Roman"/>
          <w:color w:val="212121"/>
          <w:sz w:val="24"/>
          <w:szCs w:val="24"/>
          <w:shd w:val="clear" w:color="auto" w:fill="FFFFFF"/>
        </w:rPr>
        <w:t xml:space="preserve"> comments relating to validity, reliability and imputation.</w:t>
      </w:r>
      <w:r>
        <w:rPr>
          <w:rFonts w:ascii="Times New Roman" w:hAnsi="Times New Roman" w:cs="Times New Roman"/>
          <w:color w:val="212121"/>
          <w:sz w:val="24"/>
          <w:szCs w:val="24"/>
          <w:shd w:val="clear" w:color="auto" w:fill="FFFFFF"/>
        </w:rPr>
        <w:t xml:space="preserve"> We hope that she/he can accept our arguments and additional analyses.</w:t>
      </w:r>
    </w:p>
    <w:p w14:paraId="43734C37" w14:textId="77777777" w:rsidR="00C3700C" w:rsidRPr="002E306C" w:rsidRDefault="00C3700C" w:rsidP="002E306C">
      <w:pPr>
        <w:spacing w:after="200"/>
        <w:ind w:firstLine="720"/>
        <w:rPr>
          <w:rFonts w:ascii="Times New Roman" w:hAnsi="Times New Roman" w:cs="Times New Roman"/>
          <w:color w:val="212121"/>
          <w:sz w:val="24"/>
          <w:szCs w:val="24"/>
        </w:rPr>
      </w:pPr>
    </w:p>
    <w:p w14:paraId="1E1CD188" w14:textId="2CBDE166" w:rsidR="00476317" w:rsidRPr="007945DE"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7945DE">
        <w:rPr>
          <w:rFonts w:ascii="Times New Roman" w:hAnsi="Times New Roman" w:cs="Times New Roman"/>
          <w:i/>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129F37FB" w14:textId="01335EEC" w:rsidR="004A2FF9" w:rsidRDefault="004A2FF9" w:rsidP="00D73955">
      <w:pPr>
        <w:jc w:val="both"/>
        <w:rPr>
          <w:rFonts w:ascii="Times New Roman" w:hAnsi="Times New Roman" w:cs="Times New Roman"/>
          <w:color w:val="212121"/>
          <w:sz w:val="24"/>
          <w:szCs w:val="24"/>
          <w:shd w:val="clear" w:color="auto" w:fill="FFFFFF"/>
        </w:rPr>
      </w:pPr>
    </w:p>
    <w:p w14:paraId="79021199" w14:textId="77777777" w:rsidR="00BD2CA2" w:rsidRDefault="00BD2CA2" w:rsidP="00BD2CA2">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thank the reviewer for pointing this out – we realize that we were not clear enough about the specificities of welfare spending in the Danish context. We have added more explanation on page three of the appendix (B). We also spend more words describing some interesting patterns in the distributions of welfare spending in Danish municipalities. </w:t>
      </w:r>
    </w:p>
    <w:p w14:paraId="5F6A23ED" w14:textId="77777777" w:rsidR="00BD2CA2" w:rsidRDefault="00BD2CA2" w:rsidP="00BD2CA2">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One factor is particularly important to point out: In Danish municipalities </w:t>
      </w:r>
      <w:r w:rsidRPr="00120170">
        <w:rPr>
          <w:rFonts w:ascii="Times New Roman" w:hAnsi="Times New Roman" w:cs="Times New Roman"/>
          <w:color w:val="212121"/>
          <w:sz w:val="24"/>
          <w:szCs w:val="24"/>
          <w:shd w:val="clear" w:color="auto" w:fill="FFFFFF"/>
        </w:rPr>
        <w:t xml:space="preserve">day care, </w:t>
      </w:r>
      <w:r>
        <w:rPr>
          <w:rFonts w:ascii="Times New Roman" w:hAnsi="Times New Roman" w:cs="Times New Roman"/>
          <w:color w:val="212121"/>
          <w:sz w:val="24"/>
          <w:szCs w:val="24"/>
          <w:shd w:val="clear" w:color="auto" w:fill="FFFFFF"/>
        </w:rPr>
        <w:t>relief stays, food deliveries</w:t>
      </w:r>
      <w:r w:rsidRPr="00120170">
        <w:rPr>
          <w:rFonts w:ascii="Times New Roman" w:hAnsi="Times New Roman" w:cs="Times New Roman"/>
          <w:color w:val="212121"/>
          <w:sz w:val="24"/>
          <w:szCs w:val="24"/>
          <w:shd w:val="clear" w:color="auto" w:fill="FFFFFF"/>
        </w:rPr>
        <w:t>, and stay</w:t>
      </w:r>
      <w:r>
        <w:rPr>
          <w:rFonts w:ascii="Times New Roman" w:hAnsi="Times New Roman" w:cs="Times New Roman"/>
          <w:color w:val="212121"/>
          <w:sz w:val="24"/>
          <w:szCs w:val="24"/>
          <w:shd w:val="clear" w:color="auto" w:fill="FFFFFF"/>
        </w:rPr>
        <w:t>s</w:t>
      </w:r>
      <w:r w:rsidRPr="00120170">
        <w:rPr>
          <w:rFonts w:ascii="Times New Roman" w:hAnsi="Times New Roman" w:cs="Times New Roman"/>
          <w:color w:val="212121"/>
          <w:sz w:val="24"/>
          <w:szCs w:val="24"/>
          <w:shd w:val="clear" w:color="auto" w:fill="FFFFFF"/>
        </w:rPr>
        <w:t xml:space="preserve"> in nursing home</w:t>
      </w:r>
      <w:r>
        <w:rPr>
          <w:rFonts w:ascii="Times New Roman" w:hAnsi="Times New Roman" w:cs="Times New Roman"/>
          <w:color w:val="212121"/>
          <w:sz w:val="24"/>
          <w:szCs w:val="24"/>
          <w:shd w:val="clear" w:color="auto" w:fill="FFFFFF"/>
        </w:rPr>
        <w:t xml:space="preserve"> are to a very large degree publicly financed. Therefore, the cost of, for instance, day care or a stay at a nursing home averages to approximately </w:t>
      </w:r>
      <w:r>
        <w:rPr>
          <w:rFonts w:ascii="Times New Roman" w:hAnsi="Times New Roman" w:cs="Times New Roman"/>
          <w:color w:val="212121"/>
          <w:sz w:val="24"/>
          <w:szCs w:val="24"/>
          <w:shd w:val="clear" w:color="auto" w:fill="FFFFFF"/>
        </w:rPr>
        <w:lastRenderedPageBreak/>
        <w:t>DKK 2,500 (or $379). However, the municipalities themselves choose the maximum co-pay (i.e. the level of public funding). Because of this, the main reason why these prices vary across municipalities and time is that local politicians choose to spend more or less public money on those partly public services. Therefore, the prices of these services are important to any measure of fiscal conservatism in a Danish context. This is not a general feature of non-Scandinavian welfare systems, but we note that the results maintain without including these items in the measure of fiscal conservatism.</w:t>
      </w:r>
    </w:p>
    <w:p w14:paraId="529F0EC5" w14:textId="05F112FE" w:rsidR="00476317" w:rsidRPr="0059763C" w:rsidRDefault="00476317" w:rsidP="00476317">
      <w:pPr>
        <w:rPr>
          <w:rFonts w:ascii="Times New Roman" w:hAnsi="Times New Roman" w:cs="Times New Roman"/>
          <w:i/>
          <w:color w:val="212121"/>
          <w:sz w:val="24"/>
          <w:szCs w:val="24"/>
          <w:shd w:val="clear" w:color="auto" w:fill="FFFFFF"/>
        </w:rPr>
      </w:pPr>
      <w:r w:rsidRPr="00161D00">
        <w:rPr>
          <w:rFonts w:ascii="Times New Roman" w:hAnsi="Times New Roman" w:cs="Times New Roman"/>
          <w:i/>
          <w:color w:val="212121"/>
          <w:sz w:val="24"/>
          <w:szCs w:val="24"/>
        </w:rPr>
        <w:br/>
      </w:r>
      <w:r w:rsidRPr="00161D00">
        <w:rPr>
          <w:rFonts w:ascii="Times New Roman" w:hAnsi="Times New Roman" w:cs="Times New Roman"/>
          <w:i/>
          <w:color w:val="212121"/>
          <w:sz w:val="24"/>
          <w:szCs w:val="24"/>
          <w:shd w:val="clear" w:color="auto" w:fill="FFFFFF"/>
        </w:rPr>
        <w:t xml:space="preserve">4.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59763C">
        <w:rPr>
          <w:rFonts w:ascii="Times New Roman" w:hAnsi="Times New Roman" w:cs="Times New Roman"/>
          <w:i/>
          <w:color w:val="212121"/>
          <w:sz w:val="24"/>
          <w:szCs w:val="24"/>
          <w:shd w:val="clear" w:color="auto" w:fill="FFFFFF"/>
        </w:rPr>
        <w:t>That is not what we want.</w:t>
      </w:r>
    </w:p>
    <w:p w14:paraId="7CB7DE2A" w14:textId="38B6515A" w:rsidR="002E306C" w:rsidRDefault="002E306C"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the reviewer, that we did not adequately address this issue in the or</w:t>
      </w:r>
      <w:r w:rsidR="007945DE">
        <w:rPr>
          <w:rFonts w:ascii="Times New Roman" w:hAnsi="Times New Roman" w:cs="Times New Roman"/>
          <w:color w:val="212121"/>
          <w:sz w:val="24"/>
          <w:szCs w:val="24"/>
          <w:shd w:val="clear" w:color="auto" w:fill="FFFFFF"/>
        </w:rPr>
        <w:t>i</w:t>
      </w:r>
      <w:r>
        <w:rPr>
          <w:rFonts w:ascii="Times New Roman" w:hAnsi="Times New Roman" w:cs="Times New Roman"/>
          <w:color w:val="212121"/>
          <w:sz w:val="24"/>
          <w:szCs w:val="24"/>
          <w:shd w:val="clear" w:color="auto" w:fill="FFFFFF"/>
        </w:rPr>
        <w:t>gi</w:t>
      </w:r>
      <w:r w:rsidR="00FD4CB2">
        <w:rPr>
          <w:rFonts w:ascii="Times New Roman" w:hAnsi="Times New Roman" w:cs="Times New Roman"/>
          <w:color w:val="212121"/>
          <w:sz w:val="24"/>
          <w:szCs w:val="24"/>
          <w:shd w:val="clear" w:color="auto" w:fill="FFFFFF"/>
        </w:rPr>
        <w:t>nal manuscript.</w:t>
      </w:r>
      <w:r>
        <w:rPr>
          <w:rFonts w:ascii="Times New Roman" w:hAnsi="Times New Roman" w:cs="Times New Roman"/>
          <w:color w:val="212121"/>
          <w:sz w:val="24"/>
          <w:szCs w:val="24"/>
          <w:shd w:val="clear" w:color="auto" w:fill="FFFFFF"/>
        </w:rPr>
        <w:t xml:space="preserve"> We have tried to address these concerns, especially in terms of adding some context about how Danish municipalities differ from those in other countries, and what this means for inference. We discuss this in the conclusion of the revi</w:t>
      </w:r>
      <w:r w:rsidR="007945DE">
        <w:rPr>
          <w:rFonts w:ascii="Times New Roman" w:hAnsi="Times New Roman" w:cs="Times New Roman"/>
          <w:color w:val="212121"/>
          <w:sz w:val="24"/>
          <w:szCs w:val="24"/>
          <w:shd w:val="clear" w:color="auto" w:fill="FFFFFF"/>
        </w:rPr>
        <w:t>s</w:t>
      </w:r>
      <w:r>
        <w:rPr>
          <w:rFonts w:ascii="Times New Roman" w:hAnsi="Times New Roman" w:cs="Times New Roman"/>
          <w:color w:val="212121"/>
          <w:sz w:val="24"/>
          <w:szCs w:val="24"/>
          <w:shd w:val="clear" w:color="auto" w:fill="FFFFFF"/>
        </w:rPr>
        <w:t>ed manuscript.</w:t>
      </w:r>
    </w:p>
    <w:p w14:paraId="6B8933D4" w14:textId="643C86B0" w:rsidR="00FD4CB2" w:rsidRDefault="002E306C" w:rsidP="00ED2F0D">
      <w:pPr>
        <w:spacing w:line="276" w:lineRule="auto"/>
        <w:ind w:firstLine="720"/>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In terms, of why we study Danish municipalities</w:t>
      </w:r>
      <w:r w:rsidR="007945DE">
        <w:rPr>
          <w:rFonts w:ascii="Times New Roman" w:hAnsi="Times New Roman" w:cs="Times New Roman"/>
          <w:color w:val="212121"/>
          <w:sz w:val="24"/>
          <w:szCs w:val="24"/>
          <w:shd w:val="clear" w:color="auto" w:fill="FFFFFF"/>
        </w:rPr>
        <w:t>, in the revised manuscript</w:t>
      </w:r>
      <w:r>
        <w:rPr>
          <w:rFonts w:ascii="Times New Roman" w:hAnsi="Times New Roman" w:cs="Times New Roman"/>
          <w:color w:val="212121"/>
          <w:sz w:val="24"/>
          <w:szCs w:val="24"/>
          <w:shd w:val="clear" w:color="auto" w:fill="FFFFFF"/>
        </w:rPr>
        <w:t xml:space="preserve"> we </w:t>
      </w:r>
      <w:r w:rsidR="00FD4CB2">
        <w:rPr>
          <w:rFonts w:ascii="Times New Roman" w:hAnsi="Times New Roman" w:cs="Times New Roman"/>
          <w:color w:val="212121"/>
          <w:sz w:val="24"/>
          <w:szCs w:val="24"/>
          <w:shd w:val="clear" w:color="auto" w:fill="FFFFFF"/>
        </w:rPr>
        <w:t xml:space="preserve">argue that </w:t>
      </w:r>
      <w:r w:rsidR="00FD4CB2">
        <w:rPr>
          <w:rFonts w:ascii="Times New Roman" w:hAnsi="Times New Roman" w:cs="Times New Roman"/>
          <w:sz w:val="24"/>
          <w:szCs w:val="24"/>
        </w:rPr>
        <w:t>even though t</w:t>
      </w:r>
      <w:r w:rsidR="00FD4CB2" w:rsidRPr="0059763C">
        <w:rPr>
          <w:rFonts w:ascii="Times New Roman" w:hAnsi="Times New Roman" w:cs="Times New Roman"/>
          <w:sz w:val="24"/>
          <w:szCs w:val="24"/>
        </w:rPr>
        <w:t>he Danish case cannot be seen as</w:t>
      </w:r>
      <w:r w:rsidR="00FD4CB2">
        <w:rPr>
          <w:rFonts w:ascii="Times New Roman" w:hAnsi="Times New Roman" w:cs="Times New Roman"/>
          <w:sz w:val="24"/>
          <w:szCs w:val="24"/>
        </w:rPr>
        <w:t xml:space="preserve"> especially typical or atypical</w:t>
      </w:r>
      <w:r w:rsidR="00FD4CB2" w:rsidRPr="0059763C">
        <w:rPr>
          <w:rFonts w:ascii="Times New Roman" w:hAnsi="Times New Roman" w:cs="Times New Roman"/>
          <w:sz w:val="24"/>
          <w:szCs w:val="24"/>
        </w:rPr>
        <w:t xml:space="preserve">, we </w:t>
      </w:r>
      <w:r w:rsidR="00FD4CB2">
        <w:rPr>
          <w:rFonts w:ascii="Times New Roman" w:hAnsi="Times New Roman" w:cs="Times New Roman"/>
          <w:sz w:val="24"/>
          <w:szCs w:val="24"/>
        </w:rPr>
        <w:t>beli</w:t>
      </w:r>
      <w:r w:rsidR="007945DE">
        <w:rPr>
          <w:rFonts w:ascii="Times New Roman" w:hAnsi="Times New Roman" w:cs="Times New Roman"/>
          <w:sz w:val="24"/>
          <w:szCs w:val="24"/>
        </w:rPr>
        <w:t>e</w:t>
      </w:r>
      <w:r w:rsidR="00FD4CB2">
        <w:rPr>
          <w:rFonts w:ascii="Times New Roman" w:hAnsi="Times New Roman" w:cs="Times New Roman"/>
          <w:sz w:val="24"/>
          <w:szCs w:val="24"/>
        </w:rPr>
        <w:t>ve</w:t>
      </w:r>
      <w:r w:rsidR="00FD4CB2" w:rsidRPr="0059763C">
        <w:rPr>
          <w:rFonts w:ascii="Times New Roman" w:hAnsi="Times New Roman" w:cs="Times New Roman"/>
          <w:sz w:val="24"/>
          <w:szCs w:val="24"/>
        </w:rPr>
        <w:t xml:space="preserve"> Danish municipalities are a critical case. </w:t>
      </w:r>
      <w:r w:rsidR="004B1E64">
        <w:rPr>
          <w:rFonts w:ascii="Times New Roman" w:hAnsi="Times New Roman" w:cs="Times New Roman"/>
          <w:sz w:val="24"/>
          <w:szCs w:val="24"/>
        </w:rPr>
        <w:t>It is a particularly</w:t>
      </w:r>
      <w:r w:rsidR="00D05764">
        <w:rPr>
          <w:rFonts w:ascii="Times New Roman" w:hAnsi="Times New Roman" w:cs="Times New Roman"/>
          <w:sz w:val="24"/>
          <w:szCs w:val="24"/>
        </w:rPr>
        <w:t xml:space="preserve"> interesting</w:t>
      </w:r>
      <w:r w:rsidR="00FD4CB2" w:rsidRPr="0059763C">
        <w:rPr>
          <w:rFonts w:ascii="Times New Roman" w:hAnsi="Times New Roman" w:cs="Times New Roman"/>
          <w:sz w:val="24"/>
          <w:szCs w:val="24"/>
        </w:rPr>
        <w:t xml:space="preserve"> case for those </w:t>
      </w:r>
      <w:r w:rsidR="00D05764">
        <w:rPr>
          <w:rFonts w:ascii="Times New Roman" w:hAnsi="Times New Roman" w:cs="Times New Roman"/>
          <w:sz w:val="24"/>
          <w:szCs w:val="24"/>
        </w:rPr>
        <w:t>concerned with</w:t>
      </w:r>
      <w:r w:rsidR="00FD4CB2" w:rsidRPr="0059763C">
        <w:rPr>
          <w:rFonts w:ascii="Times New Roman" w:hAnsi="Times New Roman" w:cs="Times New Roman"/>
          <w:sz w:val="24"/>
          <w:szCs w:val="24"/>
        </w:rPr>
        <w:t xml:space="preserve"> the prospects for responsive local governments. </w:t>
      </w:r>
      <w:r w:rsidR="00FD4CB2">
        <w:rPr>
          <w:rFonts w:ascii="Times New Roman" w:hAnsi="Times New Roman" w:cs="Times New Roman"/>
          <w:sz w:val="24"/>
          <w:szCs w:val="24"/>
        </w:rPr>
        <w:t>M</w:t>
      </w:r>
      <w:r w:rsidR="00FD4CB2"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FD4CB2">
        <w:rPr>
          <w:rFonts w:ascii="Times New Roman" w:hAnsi="Times New Roman" w:cs="Times New Roman"/>
          <w:sz w:val="24"/>
          <w:szCs w:val="24"/>
        </w:rPr>
        <w:t>ally democratically problematic. We make this argument in the section “Empirical Context”.</w:t>
      </w:r>
    </w:p>
    <w:p w14:paraId="2DAF3056" w14:textId="6C384C4E" w:rsidR="00FD4CB2" w:rsidRDefault="00FD4CB2" w:rsidP="00FD4CB2">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forcing us to think harder on the question of case selection.</w:t>
      </w:r>
    </w:p>
    <w:p w14:paraId="094CB7E5" w14:textId="0362679A"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 xml:space="preserve">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w:t>
      </w:r>
      <w:r w:rsidRPr="002612A3">
        <w:rPr>
          <w:rFonts w:ascii="Times New Roman" w:hAnsi="Times New Roman" w:cs="Times New Roman"/>
          <w:i/>
          <w:color w:val="212121"/>
          <w:sz w:val="24"/>
          <w:szCs w:val="24"/>
          <w:shd w:val="clear" w:color="auto" w:fill="FFFFFF"/>
        </w:rPr>
        <w:lastRenderedPageBreak/>
        <w:t>understand that the microdata of electoral campaigns may not be available. But, I encourage the author(s) to at least refer to the potential bias that may have been created by this issue.</w:t>
      </w:r>
    </w:p>
    <w:p w14:paraId="5F3779AC" w14:textId="029AB82E"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For instance, in the latest municipal election in 2017, which was not extraordinary, there were </w:t>
      </w:r>
      <w:r w:rsidR="00D05764">
        <w:rPr>
          <w:rFonts w:ascii="Times New Roman" w:hAnsi="Times New Roman" w:cs="Times New Roman"/>
          <w:color w:val="212121"/>
          <w:sz w:val="24"/>
          <w:szCs w:val="24"/>
          <w:shd w:val="clear" w:color="auto" w:fill="FFFFFF"/>
        </w:rPr>
        <w:t>upwards</w:t>
      </w:r>
      <w:r w:rsidR="00F27E02">
        <w:rPr>
          <w:rFonts w:ascii="Times New Roman" w:hAnsi="Times New Roman" w:cs="Times New Roman"/>
          <w:color w:val="212121"/>
          <w:sz w:val="24"/>
          <w:szCs w:val="24"/>
          <w:shd w:val="clear" w:color="auto" w:fill="FFFFFF"/>
        </w:rPr>
        <w:t xml:space="preserve"> of 9.000 candida</w:t>
      </w:r>
      <w:r w:rsidR="0098790F">
        <w:rPr>
          <w:rFonts w:ascii="Times New Roman" w:hAnsi="Times New Roman" w:cs="Times New Roman"/>
          <w:color w:val="212121"/>
          <w:sz w:val="24"/>
          <w:szCs w:val="24"/>
          <w:shd w:val="clear" w:color="auto" w:fill="FFFFFF"/>
        </w:rPr>
        <w:t>tes – i.e. approximately 1/400 o</w:t>
      </w:r>
      <w:r w:rsidR="00F27E02">
        <w:rPr>
          <w:rFonts w:ascii="Times New Roman" w:hAnsi="Times New Roman" w:cs="Times New Roman"/>
          <w:color w:val="212121"/>
          <w:sz w:val="24"/>
          <w:szCs w:val="24"/>
          <w:shd w:val="clear" w:color="auto" w:fill="FFFFFF"/>
        </w:rPr>
        <w:t xml:space="preserve">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 O</w:t>
      </w:r>
      <w:r w:rsidR="0098790F">
        <w:rPr>
          <w:rFonts w:ascii="Times New Roman" w:hAnsi="Times New Roman" w:cs="Times New Roman"/>
          <w:color w:val="212121"/>
          <w:sz w:val="24"/>
          <w:szCs w:val="24"/>
          <w:shd w:val="clear" w:color="auto" w:fill="FFFFFF"/>
        </w:rPr>
        <w:t>n page 6-7, we have added</w:t>
      </w:r>
      <w:r w:rsidR="00CF4C9D">
        <w:rPr>
          <w:rFonts w:ascii="Times New Roman" w:hAnsi="Times New Roman" w:cs="Times New Roman"/>
          <w:color w:val="212121"/>
          <w:sz w:val="24"/>
          <w:szCs w:val="24"/>
          <w:shd w:val="clear" w:color="auto" w:fill="FFFFFF"/>
        </w:rPr>
        <w:t xml:space="preserve"> footnote </w:t>
      </w:r>
      <w:r w:rsidR="0098790F">
        <w:rPr>
          <w:rFonts w:ascii="Times New Roman" w:hAnsi="Times New Roman" w:cs="Times New Roman"/>
          <w:color w:val="212121"/>
          <w:sz w:val="24"/>
          <w:szCs w:val="24"/>
          <w:shd w:val="clear" w:color="auto" w:fill="FFFFFF"/>
        </w:rPr>
        <w:t xml:space="preserve">number 2 </w:t>
      </w:r>
      <w:r w:rsidR="00CF4C9D">
        <w:rPr>
          <w:rFonts w:ascii="Times New Roman" w:hAnsi="Times New Roman" w:cs="Times New Roman"/>
          <w:color w:val="212121"/>
          <w:sz w:val="24"/>
          <w:szCs w:val="24"/>
          <w:shd w:val="clear" w:color="auto" w:fill="FFFFFF"/>
        </w:rPr>
        <w:t xml:space="preserve">explaining the concern as well as outlining these features of Danish municipal elections. </w:t>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20E8BCC2"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w:t>
      </w:r>
      <w:r w:rsidR="00624CC8">
        <w:rPr>
          <w:rFonts w:ascii="Times New Roman" w:hAnsi="Times New Roman" w:cs="Times New Roman"/>
          <w:sz w:val="24"/>
          <w:szCs w:val="24"/>
        </w:rPr>
        <w:t xml:space="preserve"> </w:t>
      </w:r>
      <w:r w:rsidRPr="0003576C">
        <w:rPr>
          <w:rFonts w:ascii="Times New Roman" w:hAnsi="Times New Roman" w:cs="Times New Roman"/>
          <w:sz w:val="24"/>
          <w:szCs w:val="24"/>
        </w:rPr>
        <w:t>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O</w:t>
      </w:r>
      <w:r w:rsidR="0070606A">
        <w:rPr>
          <w:rFonts w:ascii="Times New Roman" w:hAnsi="Times New Roman" w:cs="Times New Roman"/>
          <w:sz w:val="24"/>
          <w:szCs w:val="24"/>
        </w:rPr>
        <w:t>n page 16</w:t>
      </w:r>
      <w:r w:rsidR="00434301" w:rsidRPr="0003576C">
        <w:rPr>
          <w:rFonts w:ascii="Times New Roman" w:hAnsi="Times New Roman" w:cs="Times New Roman"/>
          <w:sz w:val="24"/>
          <w:szCs w:val="24"/>
        </w:rPr>
        <w:t xml:space="preserve"> of the revised manuscript, we have added these thoughts.</w:t>
      </w:r>
    </w:p>
    <w:p w14:paraId="36AF0E2B" w14:textId="63641E6C" w:rsidR="00476317" w:rsidRPr="00624CC8" w:rsidRDefault="00624CC8" w:rsidP="00624CC8">
      <w:pPr>
        <w:pStyle w:val="Opstilling-talellerbogst"/>
        <w:numPr>
          <w:ilvl w:val="0"/>
          <w:numId w:val="5"/>
        </w:numPr>
        <w:rPr>
          <w:rFonts w:ascii="Times New Roman" w:hAnsi="Times New Roman" w:cs="Times New Roman"/>
          <w:sz w:val="24"/>
          <w:szCs w:val="24"/>
        </w:rPr>
      </w:pPr>
      <w:r>
        <w:rPr>
          <w:rFonts w:ascii="Times New Roman" w:hAnsi="Times New Roman" w:cs="Times New Roman"/>
          <w:sz w:val="24"/>
          <w:szCs w:val="24"/>
        </w:rPr>
        <w:t>A lot of municipalities were merged eight years before (1970) and once again right after our study period ends (2006). However, t</w:t>
      </w:r>
      <w:r w:rsidRPr="00624CC8">
        <w:rPr>
          <w:rFonts w:ascii="Times New Roman" w:hAnsi="Times New Roman" w:cs="Times New Roman"/>
          <w:sz w:val="24"/>
          <w:szCs w:val="24"/>
        </w:rPr>
        <w:t>here are almost no municipal mer</w:t>
      </w:r>
      <w:r>
        <w:rPr>
          <w:rFonts w:ascii="Times New Roman" w:hAnsi="Times New Roman" w:cs="Times New Roman"/>
          <w:sz w:val="24"/>
          <w:szCs w:val="24"/>
        </w:rPr>
        <w:t>gers in the period under study. Accordingly, we do not think this is interfering with our results.</w:t>
      </w:r>
      <w:r w:rsidRPr="00624CC8">
        <w:rPr>
          <w:rFonts w:ascii="Times New Roman" w:hAnsi="Times New Roman" w:cs="Times New Roman"/>
          <w:sz w:val="24"/>
          <w:szCs w:val="24"/>
        </w:rPr>
        <w:t xml:space="preserve"> </w:t>
      </w:r>
    </w:p>
    <w:sectPr w:rsidR="00476317" w:rsidRPr="00624CC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Carl Krag Egerod" w:date="2019-06-12T13:37:00Z" w:initials="BCKE">
    <w:p w14:paraId="6B8AEF33" w14:textId="707873A9" w:rsidR="00707670" w:rsidRDefault="00707670">
      <w:pPr>
        <w:pStyle w:val="Kommentartekst"/>
      </w:pPr>
      <w:r>
        <w:rPr>
          <w:rStyle w:val="Kommentarhenvisning"/>
        </w:rPr>
        <w:annotationRef/>
      </w:r>
      <w:r>
        <w:t>NB!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8AEF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CB35F" w14:textId="77777777" w:rsidR="00192082" w:rsidRDefault="00192082" w:rsidP="00476317">
      <w:pPr>
        <w:spacing w:after="0" w:line="240" w:lineRule="auto"/>
      </w:pPr>
      <w:r>
        <w:separator/>
      </w:r>
    </w:p>
  </w:endnote>
  <w:endnote w:type="continuationSeparator" w:id="0">
    <w:p w14:paraId="0DBFC5AB" w14:textId="77777777" w:rsidR="00192082" w:rsidRDefault="00192082"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19054" w14:textId="77777777" w:rsidR="00192082" w:rsidRDefault="00192082" w:rsidP="00476317">
      <w:pPr>
        <w:spacing w:after="0" w:line="240" w:lineRule="auto"/>
      </w:pPr>
      <w:r>
        <w:separator/>
      </w:r>
    </w:p>
  </w:footnote>
  <w:footnote w:type="continuationSeparator" w:id="0">
    <w:p w14:paraId="41088BCF" w14:textId="77777777" w:rsidR="00192082" w:rsidRDefault="00192082"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08229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734BE"/>
    <w:rsid w:val="000D6198"/>
    <w:rsid w:val="000E63FB"/>
    <w:rsid w:val="000E73B7"/>
    <w:rsid w:val="00120170"/>
    <w:rsid w:val="00155F77"/>
    <w:rsid w:val="00161D00"/>
    <w:rsid w:val="00163D8D"/>
    <w:rsid w:val="00192082"/>
    <w:rsid w:val="00193188"/>
    <w:rsid w:val="001B64A8"/>
    <w:rsid w:val="001C0530"/>
    <w:rsid w:val="001C15BC"/>
    <w:rsid w:val="001D64C8"/>
    <w:rsid w:val="001D741B"/>
    <w:rsid w:val="001E6F16"/>
    <w:rsid w:val="001F63D1"/>
    <w:rsid w:val="00200C3E"/>
    <w:rsid w:val="0020718B"/>
    <w:rsid w:val="00221A85"/>
    <w:rsid w:val="00222612"/>
    <w:rsid w:val="0022474E"/>
    <w:rsid w:val="00232F79"/>
    <w:rsid w:val="00256FA4"/>
    <w:rsid w:val="002612A3"/>
    <w:rsid w:val="00262D3E"/>
    <w:rsid w:val="00272B79"/>
    <w:rsid w:val="00290096"/>
    <w:rsid w:val="002C5430"/>
    <w:rsid w:val="002C614B"/>
    <w:rsid w:val="002E1FFD"/>
    <w:rsid w:val="002E306C"/>
    <w:rsid w:val="002F7103"/>
    <w:rsid w:val="002F7E87"/>
    <w:rsid w:val="00303ABA"/>
    <w:rsid w:val="0030551C"/>
    <w:rsid w:val="00314A42"/>
    <w:rsid w:val="00323B62"/>
    <w:rsid w:val="00345509"/>
    <w:rsid w:val="00345F20"/>
    <w:rsid w:val="003529DB"/>
    <w:rsid w:val="00354544"/>
    <w:rsid w:val="003667E2"/>
    <w:rsid w:val="00383921"/>
    <w:rsid w:val="003933E8"/>
    <w:rsid w:val="003A2596"/>
    <w:rsid w:val="003B4666"/>
    <w:rsid w:val="003C54E5"/>
    <w:rsid w:val="003D501E"/>
    <w:rsid w:val="003E4F2C"/>
    <w:rsid w:val="00417158"/>
    <w:rsid w:val="00420902"/>
    <w:rsid w:val="00432181"/>
    <w:rsid w:val="00434301"/>
    <w:rsid w:val="00442BF4"/>
    <w:rsid w:val="00456B2A"/>
    <w:rsid w:val="00476317"/>
    <w:rsid w:val="00477B39"/>
    <w:rsid w:val="00483120"/>
    <w:rsid w:val="00484768"/>
    <w:rsid w:val="0048605E"/>
    <w:rsid w:val="004A2FF9"/>
    <w:rsid w:val="004B1E64"/>
    <w:rsid w:val="004C480B"/>
    <w:rsid w:val="004D6F88"/>
    <w:rsid w:val="00531F76"/>
    <w:rsid w:val="00537B85"/>
    <w:rsid w:val="00553A30"/>
    <w:rsid w:val="00592894"/>
    <w:rsid w:val="005930EC"/>
    <w:rsid w:val="0059763C"/>
    <w:rsid w:val="005C55A2"/>
    <w:rsid w:val="005D18D9"/>
    <w:rsid w:val="005E61CC"/>
    <w:rsid w:val="005E76E1"/>
    <w:rsid w:val="005F2038"/>
    <w:rsid w:val="00607762"/>
    <w:rsid w:val="006115DC"/>
    <w:rsid w:val="00624CC8"/>
    <w:rsid w:val="006272A2"/>
    <w:rsid w:val="00636F24"/>
    <w:rsid w:val="006523E8"/>
    <w:rsid w:val="006816B1"/>
    <w:rsid w:val="006A50A0"/>
    <w:rsid w:val="006D6204"/>
    <w:rsid w:val="006F23C3"/>
    <w:rsid w:val="0070606A"/>
    <w:rsid w:val="00707670"/>
    <w:rsid w:val="00713795"/>
    <w:rsid w:val="0075223F"/>
    <w:rsid w:val="00762278"/>
    <w:rsid w:val="007945DE"/>
    <w:rsid w:val="007C70D9"/>
    <w:rsid w:val="007D7AA6"/>
    <w:rsid w:val="007E1383"/>
    <w:rsid w:val="007E3C78"/>
    <w:rsid w:val="007E3E29"/>
    <w:rsid w:val="00810C46"/>
    <w:rsid w:val="00814B46"/>
    <w:rsid w:val="00842C9F"/>
    <w:rsid w:val="00845091"/>
    <w:rsid w:val="00867850"/>
    <w:rsid w:val="00896715"/>
    <w:rsid w:val="008B11B1"/>
    <w:rsid w:val="008B1D40"/>
    <w:rsid w:val="008C5CD7"/>
    <w:rsid w:val="008C603A"/>
    <w:rsid w:val="008D15B2"/>
    <w:rsid w:val="009052E1"/>
    <w:rsid w:val="00920591"/>
    <w:rsid w:val="009259C6"/>
    <w:rsid w:val="009359CA"/>
    <w:rsid w:val="009573B2"/>
    <w:rsid w:val="0097585D"/>
    <w:rsid w:val="009836DB"/>
    <w:rsid w:val="0098790F"/>
    <w:rsid w:val="009A78F0"/>
    <w:rsid w:val="009B1EF2"/>
    <w:rsid w:val="009C7792"/>
    <w:rsid w:val="009F57C1"/>
    <w:rsid w:val="00A028E5"/>
    <w:rsid w:val="00A2059F"/>
    <w:rsid w:val="00A30F8A"/>
    <w:rsid w:val="00A45D0A"/>
    <w:rsid w:val="00A67DAF"/>
    <w:rsid w:val="00A816EC"/>
    <w:rsid w:val="00AA20A2"/>
    <w:rsid w:val="00AB0CC7"/>
    <w:rsid w:val="00AB5933"/>
    <w:rsid w:val="00B14EDF"/>
    <w:rsid w:val="00B32A59"/>
    <w:rsid w:val="00B37A76"/>
    <w:rsid w:val="00B4775F"/>
    <w:rsid w:val="00B67573"/>
    <w:rsid w:val="00B70FBD"/>
    <w:rsid w:val="00B7422B"/>
    <w:rsid w:val="00B872F3"/>
    <w:rsid w:val="00B9155A"/>
    <w:rsid w:val="00BA0D8B"/>
    <w:rsid w:val="00BA783B"/>
    <w:rsid w:val="00BC3BAC"/>
    <w:rsid w:val="00BD2CA2"/>
    <w:rsid w:val="00BD43D6"/>
    <w:rsid w:val="00C07391"/>
    <w:rsid w:val="00C11D12"/>
    <w:rsid w:val="00C22186"/>
    <w:rsid w:val="00C3700C"/>
    <w:rsid w:val="00C40474"/>
    <w:rsid w:val="00CA2E53"/>
    <w:rsid w:val="00CC6185"/>
    <w:rsid w:val="00CD082E"/>
    <w:rsid w:val="00CF4C9D"/>
    <w:rsid w:val="00CF5FE1"/>
    <w:rsid w:val="00D05764"/>
    <w:rsid w:val="00D144ED"/>
    <w:rsid w:val="00D56543"/>
    <w:rsid w:val="00D67420"/>
    <w:rsid w:val="00D70177"/>
    <w:rsid w:val="00D73955"/>
    <w:rsid w:val="00D8051D"/>
    <w:rsid w:val="00D9263C"/>
    <w:rsid w:val="00DC0B51"/>
    <w:rsid w:val="00DE35BC"/>
    <w:rsid w:val="00E57CF2"/>
    <w:rsid w:val="00E81BD6"/>
    <w:rsid w:val="00E95C91"/>
    <w:rsid w:val="00EB4D8B"/>
    <w:rsid w:val="00EC1D1C"/>
    <w:rsid w:val="00ED2F0D"/>
    <w:rsid w:val="00EE51AE"/>
    <w:rsid w:val="00EE6BAA"/>
    <w:rsid w:val="00F0197D"/>
    <w:rsid w:val="00F243C8"/>
    <w:rsid w:val="00F27360"/>
    <w:rsid w:val="00F27E02"/>
    <w:rsid w:val="00F55A09"/>
    <w:rsid w:val="00F748DE"/>
    <w:rsid w:val="00F8500B"/>
    <w:rsid w:val="00F90095"/>
    <w:rsid w:val="00FC6088"/>
    <w:rsid w:val="00FD4CB2"/>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6476</TotalTime>
  <Pages>13</Pages>
  <Words>4946</Words>
  <Characters>30174</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Benjamin Carl Krag Egerod</cp:lastModifiedBy>
  <cp:revision>166</cp:revision>
  <dcterms:created xsi:type="dcterms:W3CDTF">2019-03-20T10:49:00Z</dcterms:created>
  <dcterms:modified xsi:type="dcterms:W3CDTF">2019-06-12T12:13:00Z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