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F97BE56" w14:textId="77777777" w:rsidR="00EC1D1C" w:rsidRPr="00C11D12" w:rsidRDefault="00EC1D1C" w:rsidP="00EC1D1C">
      <w:pPr>
        <w:spacing w:line="276" w:lineRule="auto"/>
        <w:jc w:val="both"/>
        <w:rPr>
          <w:rFonts w:ascii="Times New Roman" w:hAnsi="Times New Roman" w:cs="Times New Roman"/>
          <w:sz w:val="24"/>
          <w:szCs w:val="24"/>
        </w:rPr>
      </w:pPr>
    </w:p>
    <w:p w14:paraId="7B6DE34C"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41B5D6C4"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77FCF64A"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E8173F6"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010B11C0"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w:t>
      </w:r>
      <w:r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Pr="00C11D12">
        <w:rPr>
          <w:rFonts w:ascii="Times New Roman" w:hAnsi="Times New Roman" w:cs="Times New Roman"/>
          <w:sz w:val="24"/>
          <w:szCs w:val="24"/>
        </w:rPr>
        <w:t xml:space="preserve">” Naturally, </w:t>
      </w:r>
      <w:r w:rsidR="001B64A8">
        <w:rPr>
          <w:rFonts w:ascii="Times New Roman" w:hAnsi="Times New Roman" w:cs="Times New Roman"/>
          <w:sz w:val="24"/>
          <w:szCs w:val="24"/>
        </w:rPr>
        <w:t>R1</w:t>
      </w:r>
      <w:r w:rsidRPr="00C11D12">
        <w:rPr>
          <w:rFonts w:ascii="Times New Roman" w:hAnsi="Times New Roman" w:cs="Times New Roman"/>
          <w:sz w:val="24"/>
          <w:szCs w:val="24"/>
        </w:rPr>
        <w:t xml:space="preserve"> also has some concerns</w:t>
      </w:r>
      <w:r w:rsidR="005F2038">
        <w:rPr>
          <w:rFonts w:ascii="Times New Roman" w:hAnsi="Times New Roman" w:cs="Times New Roman"/>
          <w:sz w:val="24"/>
          <w:szCs w:val="24"/>
        </w:rPr>
        <w:t xml:space="preserve">, raising </w:t>
      </w:r>
      <w:r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Pr="00C11D12">
        <w:rPr>
          <w:rFonts w:ascii="Times New Roman" w:hAnsi="Times New Roman" w:cs="Times New Roman"/>
          <w:sz w:val="24"/>
          <w:szCs w:val="24"/>
        </w:rPr>
        <w: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09C898E2" w14:textId="6F9DD470" w:rsidR="005F2038" w:rsidRPr="009573B2" w:rsidRDefault="005F2038" w:rsidP="005F2038">
      <w:pPr>
        <w:rPr>
          <w:rFonts w:ascii="Times New Roman" w:hAnsi="Times New Roman" w:cs="Times New Roman"/>
          <w:color w:val="212121"/>
          <w:sz w:val="24"/>
          <w:szCs w:val="24"/>
          <w:shd w:val="clear" w:color="auto" w:fill="FFFFFF"/>
        </w:rPr>
      </w:pP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19E6D3ED" w:rsidR="00845091" w:rsidRDefault="005F2038"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First, our measure is annual</w:t>
      </w:r>
      <w:r w:rsidR="00BC3BAC">
        <w:rPr>
          <w:rFonts w:ascii="Times New Roman" w:hAnsi="Times New Roman" w:cs="Times New Roman"/>
          <w:color w:val="212121"/>
          <w:sz w:val="24"/>
          <w:szCs w:val="24"/>
          <w:shd w:val="clear" w:color="auto" w:fill="FFFFFF"/>
        </w:rPr>
        <w:t xml:space="preserve"> whereas the COG is only 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sidRPr="009573B2">
        <w:rPr>
          <w:rFonts w:ascii="Times New Roman" w:hAnsi="Times New Roman" w:cs="Times New Roman"/>
          <w:i/>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w:t>
      </w:r>
      <w:r w:rsidR="009573B2">
        <w:rPr>
          <w:rFonts w:ascii="Times New Roman" w:hAnsi="Times New Roman" w:cs="Times New Roman"/>
          <w:color w:val="212121"/>
          <w:sz w:val="24"/>
          <w:szCs w:val="24"/>
          <w:shd w:val="clear" w:color="auto" w:fill="FFFFFF"/>
        </w:rPr>
        <w:t>S</w:t>
      </w:r>
      <w:r w:rsidR="00BC3BAC">
        <w:rPr>
          <w:rFonts w:ascii="Times New Roman" w:hAnsi="Times New Roman" w:cs="Times New Roman"/>
          <w:color w:val="212121"/>
          <w:sz w:val="24"/>
          <w:szCs w:val="24"/>
          <w:shd w:val="clear" w:color="auto" w:fill="FFFFFF"/>
        </w:rPr>
        <w:t>tudies relying on the COG ha</w:t>
      </w:r>
      <w:r w:rsidR="009573B2">
        <w:rPr>
          <w:rFonts w:ascii="Times New Roman" w:hAnsi="Times New Roman" w:cs="Times New Roman"/>
          <w:color w:val="212121"/>
          <w:sz w:val="24"/>
          <w:szCs w:val="24"/>
          <w:shd w:val="clear" w:color="auto" w:fill="FFFFFF"/>
        </w:rPr>
        <w:t>ve</w:t>
      </w:r>
      <w:r w:rsidR="00BC3BAC">
        <w:rPr>
          <w:rFonts w:ascii="Times New Roman" w:hAnsi="Times New Roman" w:cs="Times New Roman"/>
          <w:color w:val="212121"/>
          <w:sz w:val="24"/>
          <w:szCs w:val="24"/>
          <w:shd w:val="clear" w:color="auto" w:fill="FFFFFF"/>
        </w:rPr>
        <w:t xml:space="preserve"> been forced to interpolate preferences from election results before and after the collection of the COG to get a measure of preferences and policy at the same time. This makes it hard to neatly separate changes in preferences from changes in policy over time, </w:t>
      </w:r>
      <w:r w:rsidR="009573B2">
        <w:rPr>
          <w:rFonts w:ascii="Times New Roman" w:hAnsi="Times New Roman" w:cs="Times New Roman"/>
          <w:color w:val="212121"/>
          <w:sz w:val="24"/>
          <w:szCs w:val="24"/>
          <w:shd w:val="clear" w:color="auto" w:fill="FFFFFF"/>
        </w:rPr>
        <w:t>since</w:t>
      </w:r>
      <w:r w:rsidR="00BC3BAC">
        <w:rPr>
          <w:rFonts w:ascii="Times New Roman" w:hAnsi="Times New Roman" w:cs="Times New Roman"/>
          <w:color w:val="212121"/>
          <w:sz w:val="24"/>
          <w:szCs w:val="24"/>
          <w:shd w:val="clear" w:color="auto" w:fill="FFFFFF"/>
        </w:rPr>
        <w:t xml:space="preserv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1B8DD049" w:rsidR="001D64C8" w:rsidRDefault="009573B2"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Further</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045DE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 xml:space="preserve">based on records </w:t>
      </w:r>
      <w:r>
        <w:rPr>
          <w:rFonts w:ascii="Times New Roman" w:hAnsi="Times New Roman" w:cs="Times New Roman"/>
          <w:color w:val="212121"/>
          <w:sz w:val="24"/>
          <w:szCs w:val="24"/>
          <w:shd w:val="clear" w:color="auto" w:fill="FFFFFF"/>
        </w:rPr>
        <w:t>from</w:t>
      </w:r>
      <w:r w:rsidR="006D6204" w:rsidRPr="006D6204">
        <w:rPr>
          <w:rFonts w:ascii="Times New Roman" w:hAnsi="Times New Roman" w:cs="Times New Roman"/>
          <w:color w:val="212121"/>
          <w:sz w:val="24"/>
          <w:szCs w:val="24"/>
          <w:shd w:val="clear" w:color="auto" w:fill="FFFFFF"/>
        </w:rPr>
        <w:t xml:space="preserve"> st</w:t>
      </w:r>
      <w:r w:rsidR="00045DE5">
        <w:rPr>
          <w:rFonts w:ascii="Times New Roman" w:hAnsi="Times New Roman" w:cs="Times New Roman"/>
          <w:color w:val="212121"/>
          <w:sz w:val="24"/>
          <w:szCs w:val="24"/>
          <w:shd w:val="clear" w:color="auto" w:fill="FFFFFF"/>
        </w:rPr>
        <w:t xml:space="preserve">ate governments </w:t>
      </w:r>
      <w:r>
        <w:rPr>
          <w:rFonts w:ascii="Times New Roman" w:hAnsi="Times New Roman" w:cs="Times New Roman"/>
          <w:color w:val="212121"/>
          <w:sz w:val="24"/>
          <w:szCs w:val="24"/>
          <w:shd w:val="clear" w:color="auto" w:fill="FFFFFF"/>
        </w:rPr>
        <w:t>which do not have common accounting standards.</w:t>
      </w:r>
    </w:p>
    <w:p w14:paraId="1BD01514" w14:textId="43643C37" w:rsidR="00C11D12" w:rsidRPr="00C11D12" w:rsidRDefault="00AB5933" w:rsidP="005F2038">
      <w:pPr>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xml:space="preserve">” and </w:t>
      </w:r>
      <w:r w:rsidR="009573B2">
        <w:rPr>
          <w:rFonts w:ascii="Times New Roman" w:hAnsi="Times New Roman" w:cs="Times New Roman"/>
          <w:color w:val="212121"/>
          <w:sz w:val="24"/>
          <w:szCs w:val="24"/>
        </w:rPr>
        <w:t xml:space="preserve">also </w:t>
      </w:r>
      <w:r>
        <w:rPr>
          <w:rFonts w:ascii="Times New Roman" w:hAnsi="Times New Roman" w:cs="Times New Roman"/>
          <w:color w:val="212121"/>
          <w:sz w:val="24"/>
          <w:szCs w:val="24"/>
        </w:rPr>
        <w:t>feature</w:t>
      </w:r>
      <w:r w:rsidR="009573B2">
        <w:rPr>
          <w:rFonts w:ascii="Times New Roman" w:hAnsi="Times New Roman" w:cs="Times New Roman"/>
          <w:color w:val="212121"/>
          <w:sz w:val="24"/>
          <w:szCs w:val="24"/>
        </w:rPr>
        <w:t xml:space="preserve"> prominently in</w:t>
      </w:r>
      <w:r>
        <w:rPr>
          <w:rFonts w:ascii="Times New Roman" w:hAnsi="Times New Roman" w:cs="Times New Roman"/>
          <w:color w:val="212121"/>
          <w:sz w:val="24"/>
          <w:szCs w:val="24"/>
        </w:rPr>
        <w:t xml:space="preserve"> the new theory/lit</w:t>
      </w:r>
      <w:r w:rsidR="009573B2">
        <w:rPr>
          <w:rFonts w:ascii="Times New Roman" w:hAnsi="Times New Roman" w:cs="Times New Roman"/>
          <w:color w:val="212121"/>
          <w:sz w:val="24"/>
          <w:szCs w:val="24"/>
        </w:rPr>
        <w:t>erature</w:t>
      </w:r>
      <w:r>
        <w:rPr>
          <w:rFonts w:ascii="Times New Roman" w:hAnsi="Times New Roman" w:cs="Times New Roman"/>
          <w:color w:val="212121"/>
          <w:sz w:val="24"/>
          <w:szCs w:val="24"/>
        </w:rPr>
        <w:t xml:space="preserve">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w:t>
      </w:r>
      <w:r w:rsidR="00C11D12" w:rsidRPr="00C11D12">
        <w:rPr>
          <w:rFonts w:ascii="Times New Roman" w:hAnsi="Times New Roman" w:cs="Times New Roman"/>
          <w:i/>
          <w:color w:val="212121"/>
          <w:sz w:val="24"/>
          <w:szCs w:val="24"/>
          <w:shd w:val="clear" w:color="auto" w:fill="FFFFFF"/>
        </w:rPr>
        <w:lastRenderedPageBreak/>
        <w:t>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21F54E4F" w14:textId="7D7C7230"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p>
    <w:p w14:paraId="3FD01F7F" w14:textId="4B168B0D" w:rsidR="00AB5933" w:rsidRDefault="00045DE5" w:rsidP="00045DE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AB59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2C100F25" w:rsidR="00AB5933" w:rsidRPr="00045DE5" w:rsidRDefault="00AB5933" w:rsidP="00C11D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Pr>
          <w:rFonts w:ascii="Times New Roman" w:hAnsi="Times New Roman" w:cs="Times New Roman"/>
          <w:color w:val="212121"/>
          <w:sz w:val="24"/>
          <w:szCs w:val="24"/>
          <w:shd w:val="clear" w:color="auto" w:fill="FFFFFF"/>
        </w:rPr>
        <w:t xml:space="preserve">”, which we </w:t>
      </w:r>
      <w:r w:rsidR="009573B2">
        <w:rPr>
          <w:rFonts w:ascii="Times New Roman" w:hAnsi="Times New Roman" w:cs="Times New Roman"/>
          <w:color w:val="212121"/>
          <w:sz w:val="24"/>
          <w:szCs w:val="24"/>
          <w:shd w:val="clear" w:color="auto" w:fill="FFFFFF"/>
        </w:rPr>
        <w:t>have been completely rewritten in</w:t>
      </w:r>
      <w:r>
        <w:rPr>
          <w:rFonts w:ascii="Times New Roman" w:hAnsi="Times New Roman" w:cs="Times New Roman"/>
          <w:color w:val="212121"/>
          <w:sz w:val="24"/>
          <w:szCs w:val="24"/>
          <w:shd w:val="clear" w:color="auto" w:fill="FFFFFF"/>
        </w:rPr>
        <w:t xml:space="preserve">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797D92BE"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mains concern </w:t>
      </w:r>
      <w:r w:rsidR="001B64A8">
        <w:rPr>
          <w:rFonts w:ascii="Times New Roman" w:hAnsi="Times New Roman" w:cs="Times New Roman"/>
          <w:sz w:val="24"/>
          <w:szCs w:val="24"/>
        </w:rPr>
        <w:t>relates to</w:t>
      </w:r>
      <w:r>
        <w:rPr>
          <w:rFonts w:ascii="Times New Roman" w:hAnsi="Times New Roman" w:cs="Times New Roman"/>
          <w:sz w:val="24"/>
          <w:szCs w:val="24"/>
        </w:rPr>
        <w:t xml:space="preserve">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6B4B6591"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w:t>
      </w:r>
      <w:r w:rsidR="001B64A8">
        <w:rPr>
          <w:rFonts w:ascii="Times New Roman" w:hAnsi="Times New Roman" w:cs="Times New Roman"/>
          <w:sz w:val="24"/>
          <w:szCs w:val="24"/>
        </w:rPr>
        <w:t>the timing of municipal policy change ha</w:t>
      </w:r>
      <w:r>
        <w:rPr>
          <w:rFonts w:ascii="Times New Roman" w:hAnsi="Times New Roman" w:cs="Times New Roman"/>
          <w:sz w:val="24"/>
          <w:szCs w:val="24"/>
        </w:rPr>
        <w:t xml:space="preserve">s for both accountability and the underlying mechanisms </w:t>
      </w:r>
      <w:r w:rsidR="00CA2E53">
        <w:rPr>
          <w:rFonts w:ascii="Times New Roman" w:hAnsi="Times New Roman" w:cs="Times New Roman"/>
          <w:sz w:val="24"/>
          <w:szCs w:val="24"/>
        </w:rPr>
        <w:t xml:space="preserve">that produce local responsiveness. We </w:t>
      </w:r>
      <w:r w:rsidR="001B64A8">
        <w:rPr>
          <w:rFonts w:ascii="Times New Roman" w:hAnsi="Times New Roman" w:cs="Times New Roman"/>
          <w:sz w:val="24"/>
          <w:szCs w:val="24"/>
        </w:rPr>
        <w:t>present these discussions</w:t>
      </w:r>
      <w:r w:rsidR="00CA2E53">
        <w:rPr>
          <w:rFonts w:ascii="Times New Roman" w:hAnsi="Times New Roman" w:cs="Times New Roman"/>
          <w:sz w:val="24"/>
          <w:szCs w:val="24"/>
        </w:rPr>
        <w:t xml:space="preserve">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3B32D9B4" w:rsidR="00221A85"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221A85">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1192A743" w14:textId="321C8FCE" w:rsidR="00CA2E53"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p>
    <w:p w14:paraId="766C4563" w14:textId="60D9BB5C" w:rsidR="00CA2E53" w:rsidRDefault="00CA2E5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change in the focus of the paper is reflected </w:t>
      </w:r>
      <w:r w:rsidR="009359CA">
        <w:rPr>
          <w:rFonts w:ascii="Times New Roman" w:hAnsi="Times New Roman" w:cs="Times New Roman"/>
          <w:sz w:val="24"/>
          <w:szCs w:val="24"/>
        </w:rPr>
        <w:t>throughout the paper.</w:t>
      </w:r>
    </w:p>
    <w:p w14:paraId="0217BA08" w14:textId="7AD7D7A7" w:rsidR="00E57CF2" w:rsidRDefault="009359CA" w:rsidP="00F748DE">
      <w:pPr>
        <w:spacing w:line="276" w:lineRule="auto"/>
        <w:jc w:val="both"/>
        <w:rPr>
          <w:rFonts w:ascii="Times New Roman" w:hAnsi="Times New Roman" w:cs="Times New Roman"/>
          <w:sz w:val="24"/>
          <w:szCs w:val="24"/>
        </w:rPr>
      </w:pPr>
      <w:r>
        <w:rPr>
          <w:rFonts w:ascii="Times New Roman" w:hAnsi="Times New Roman" w:cs="Times New Roman"/>
          <w:sz w:val="24"/>
          <w:szCs w:val="24"/>
        </w:rPr>
        <w:t>However, t</w:t>
      </w:r>
      <w:r w:rsidR="00F748DE">
        <w:rPr>
          <w:rFonts w:ascii="Times New Roman" w:hAnsi="Times New Roman" w:cs="Times New Roman"/>
          <w:sz w:val="24"/>
          <w:szCs w:val="24"/>
        </w:rPr>
        <w:t xml:space="preserve">wo </w:t>
      </w:r>
      <w:r w:rsidR="00E57CF2">
        <w:rPr>
          <w:rFonts w:ascii="Times New Roman" w:hAnsi="Times New Roman" w:cs="Times New Roman"/>
          <w:sz w:val="24"/>
          <w:szCs w:val="24"/>
        </w:rPr>
        <w:t>caveats</w:t>
      </w:r>
      <w:r>
        <w:rPr>
          <w:rFonts w:ascii="Times New Roman" w:hAnsi="Times New Roman" w:cs="Times New Roman"/>
          <w:sz w:val="24"/>
          <w:szCs w:val="24"/>
        </w:rPr>
        <w:t xml:space="preserve"> are important to note before moving on.</w:t>
      </w:r>
      <w:r w:rsidR="00E57CF2">
        <w:rPr>
          <w:rFonts w:ascii="Times New Roman" w:hAnsi="Times New Roman" w:cs="Times New Roman"/>
          <w:sz w:val="24"/>
          <w:szCs w:val="24"/>
        </w:rPr>
        <w:t xml:space="preserve">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Second, </w:t>
      </w:r>
      <w:r w:rsidR="00F748DE">
        <w:rPr>
          <w:rFonts w:ascii="Times New Roman" w:hAnsi="Times New Roman" w:cs="Times New Roman"/>
          <w:sz w:val="24"/>
          <w:szCs w:val="24"/>
        </w:rPr>
        <w:t>since this is a research note the theoretical discussion has to be quite brief to stay within the Urban Affairs Review word limit. In spite of this, we hope that our revisions satisfies R2, although want to leave him/her with two</w:t>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addition to this, R2 has some other suggestions.</w:t>
      </w:r>
    </w:p>
    <w:p w14:paraId="155BB69F"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1</w:t>
      </w:r>
      <w:r w:rsidR="00476317" w:rsidRPr="004D6F88">
        <w:rPr>
          <w:rFonts w:ascii="Times New Roman" w:hAnsi="Times New Roman" w:cs="Times New Roman"/>
          <w:i/>
          <w:sz w:val="24"/>
          <w:szCs w:val="24"/>
        </w:rPr>
        <w:t>. The literature review should motivate the authors’ theory rather than simply review what people have argued.  The authors should explain what new insights they bring with their new data.</w:t>
      </w:r>
    </w:p>
    <w:p w14:paraId="7A79A5D5" w14:textId="0145DE5D" w:rsidR="00476317" w:rsidRPr="00476317" w:rsidRDefault="004D6F88"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this comment by the reviewer, we have restructured the literature review, so that we highlight how our data can cast light on new issues—related to the dynamism and adaptiveness—in local responsiveness.</w:t>
      </w:r>
    </w:p>
    <w:p w14:paraId="27DBE5CD"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2</w:t>
      </w:r>
      <w:r w:rsidR="00476317" w:rsidRPr="004D6F88">
        <w:rPr>
          <w:rFonts w:ascii="Times New Roman" w:hAnsi="Times New Roman" w:cs="Times New Roman"/>
          <w:i/>
          <w:sz w:val="24"/>
          <w:szCs w:val="24"/>
        </w:rPr>
        <w:t>. The authors include a lengthy appendix.  However, the additional tests are disjointed and not well motivated in the paper.  The text needs to better detail the problems that the various choices are seeking to address.</w:t>
      </w:r>
    </w:p>
    <w:p w14:paraId="3A0BA20B" w14:textId="40305E59"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address this problem, detailing the implications of our methodological choices, and, in order to present our results more fully, we have included part of the Appendix in the main text.</w:t>
      </w:r>
    </w:p>
    <w:p w14:paraId="6B545F27"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3</w:t>
      </w:r>
      <w:r w:rsidR="00476317" w:rsidRPr="004D6F88">
        <w:rPr>
          <w:rFonts w:ascii="Times New Roman" w:hAnsi="Times New Roman" w:cs="Times New Roman"/>
          <w:i/>
          <w:sz w:val="24"/>
          <w:szCs w:val="24"/>
        </w:rPr>
        <w:t>. Some of the policies included in the fiscal policy index were not well explained.  Co-payment for public services does not seem to be a direct measure of city policy.</w:t>
      </w:r>
    </w:p>
    <w:p w14:paraId="1ED34F3C" w14:textId="215F7E46"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expand upon this in the revised manuscrip</w:t>
      </w:r>
      <w:r w:rsidR="004D6F88">
        <w:rPr>
          <w:rFonts w:ascii="Times New Roman" w:hAnsi="Times New Roman" w:cs="Times New Roman"/>
          <w:sz w:val="24"/>
          <w:szCs w:val="24"/>
        </w:rPr>
        <w:t>t, d</w:t>
      </w:r>
      <w:r>
        <w:rPr>
          <w:rFonts w:ascii="Times New Roman" w:hAnsi="Times New Roman" w:cs="Times New Roman"/>
          <w:sz w:val="24"/>
          <w:szCs w:val="24"/>
        </w:rPr>
        <w:t xml:space="preserve">etailing, for instance, that maximum co-pays for public services such as </w:t>
      </w:r>
      <w:r w:rsidR="004D6F88">
        <w:rPr>
          <w:rFonts w:ascii="Times New Roman" w:hAnsi="Times New Roman" w:cs="Times New Roman"/>
          <w:sz w:val="24"/>
          <w:szCs w:val="24"/>
        </w:rPr>
        <w:t xml:space="preserve">the </w:t>
      </w:r>
      <w:r>
        <w:rPr>
          <w:rFonts w:ascii="Times New Roman" w:hAnsi="Times New Roman" w:cs="Times New Roman"/>
          <w:sz w:val="24"/>
          <w:szCs w:val="24"/>
        </w:rPr>
        <w:t xml:space="preserve">public day care is set by the </w:t>
      </w:r>
      <w:r w:rsidR="004D6F88">
        <w:rPr>
          <w:rFonts w:ascii="Times New Roman" w:hAnsi="Times New Roman" w:cs="Times New Roman"/>
          <w:sz w:val="24"/>
          <w:szCs w:val="24"/>
        </w:rPr>
        <w:t>municipality, with higher co-payment by the service user (as opposed to the tax payer) being coded as a Conservative policy.</w:t>
      </w: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0"/>
      <w:r w:rsidR="000450D7">
        <w:rPr>
          <w:rStyle w:val="Kommentarhenvisning"/>
        </w:rPr>
        <w:commentReference w:id="0"/>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 xml:space="preserve">the reader that our results are not driven by bias induced through the imputation </w:t>
      </w:r>
      <w:r w:rsidR="00537B85">
        <w:rPr>
          <w:rFonts w:ascii="Times New Roman" w:hAnsi="Times New Roman" w:cs="Times New Roman"/>
          <w:color w:val="212121"/>
          <w:sz w:val="24"/>
          <w:szCs w:val="24"/>
        </w:rPr>
        <w:lastRenderedPageBreak/>
        <w:t>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7D765F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1"/>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3B4666">
        <w:rPr>
          <w:rFonts w:ascii="Times New Roman" w:hAnsi="Times New Roman" w:cs="Times New Roman"/>
          <w:color w:val="212121"/>
          <w:sz w:val="24"/>
          <w:szCs w:val="24"/>
        </w:rPr>
        <w:br/>
        <w:t>On page 6 of the revised manuscript, we have sought to bring more clarity to this part of the procedure.</w:t>
      </w:r>
      <w:commentRangeEnd w:id="1"/>
      <w:r w:rsidR="003B4666">
        <w:rPr>
          <w:rStyle w:val="Kommentarhenvisning"/>
        </w:rPr>
        <w:commentReference w:id="1"/>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2"/>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2"/>
      <w:r w:rsidR="00420902">
        <w:rPr>
          <w:rStyle w:val="Kommentarhenvisning"/>
        </w:rPr>
        <w:commentReference w:id="2"/>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w:t>
      </w:r>
      <w:r w:rsidRPr="00476317">
        <w:rPr>
          <w:rFonts w:ascii="Times New Roman" w:hAnsi="Times New Roman" w:cs="Times New Roman"/>
          <w:color w:val="212121"/>
          <w:sz w:val="24"/>
          <w:szCs w:val="24"/>
          <w:shd w:val="clear" w:color="auto" w:fill="FFFFFF"/>
        </w:rPr>
        <w:lastRenderedPageBreak/>
        <w:t xml:space="preserve">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bookmarkStart w:id="3" w:name="_GoBack"/>
      <w:r w:rsidRPr="00476317">
        <w:rPr>
          <w:rFonts w:ascii="Times New Roman" w:hAnsi="Times New Roman" w:cs="Times New Roman"/>
          <w:color w:val="212121"/>
          <w:sz w:val="24"/>
          <w:szCs w:val="24"/>
          <w:shd w:val="clear" w:color="auto" w:fill="FFFFFF"/>
          <w:lang w:val="da-DK"/>
        </w:rPr>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bookmarkEnd w:id="3"/>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4"/>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4"/>
      <w:r w:rsidR="009B1EF2">
        <w:rPr>
          <w:rStyle w:val="Kommentarhenvisning"/>
        </w:rPr>
        <w:commentReference w:id="4"/>
      </w:r>
      <w:r w:rsidR="00CF4C9D">
        <w:rPr>
          <w:rFonts w:ascii="Times New Roman" w:hAnsi="Times New Roman" w:cs="Times New Roman"/>
          <w:color w:val="212121"/>
          <w:sz w:val="24"/>
          <w:szCs w:val="24"/>
          <w:shd w:val="clear" w:color="auto" w:fill="FFFFFF"/>
        </w:rPr>
        <w:t xml:space="preserve">. </w:t>
      </w:r>
      <w:commentRangeStart w:id="5"/>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5"/>
      <w:r w:rsidR="00CF4C9D">
        <w:rPr>
          <w:rStyle w:val="Kommentarhenvisning"/>
        </w:rPr>
        <w:commentReference w:id="5"/>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 xml:space="preserve">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w:t>
      </w:r>
      <w:r w:rsidRPr="00B32A59">
        <w:rPr>
          <w:rFonts w:ascii="Times New Roman" w:hAnsi="Times New Roman" w:cs="Times New Roman"/>
          <w:i/>
          <w:sz w:val="24"/>
          <w:szCs w:val="24"/>
          <w:shd w:val="clear" w:color="auto" w:fill="FFFFFF"/>
        </w:rPr>
        <w:lastRenderedPageBreak/>
        <w:t>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92F18FE"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6"/>
      <w:r w:rsidR="00434301" w:rsidRPr="0003576C">
        <w:rPr>
          <w:rFonts w:ascii="Times New Roman" w:hAnsi="Times New Roman" w:cs="Times New Roman"/>
          <w:sz w:val="24"/>
          <w:szCs w:val="24"/>
        </w:rPr>
        <w:t>On page XX of the revised manuscript, we have added these thoughts.</w:t>
      </w:r>
      <w:commentRangeEnd w:id="6"/>
      <w:r w:rsidR="00434301" w:rsidRPr="0003576C">
        <w:rPr>
          <w:rStyle w:val="Kommentarhenvisning"/>
          <w:rFonts w:ascii="Times New Roman" w:hAnsi="Times New Roman" w:cs="Times New Roman"/>
          <w:sz w:val="24"/>
          <w:szCs w:val="24"/>
        </w:rPr>
        <w:commentReference w:id="6"/>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7"/>
      <w:r>
        <w:rPr>
          <w:rFonts w:ascii="Times New Roman" w:hAnsi="Times New Roman" w:cs="Times New Roman"/>
          <w:sz w:val="24"/>
          <w:szCs w:val="24"/>
        </w:rPr>
        <w:t>… Municipal mergers …??</w:t>
      </w:r>
      <w:commentRangeEnd w:id="7"/>
      <w:r>
        <w:rPr>
          <w:rStyle w:val="Kommentarhenvisning"/>
        </w:rPr>
        <w:commentReference w:id="7"/>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Carl Krag Egerod" w:date="2019-03-22T10:05:00Z" w:initials="BCKE">
    <w:p w14:paraId="503E1767" w14:textId="35435ECE" w:rsidR="000450D7" w:rsidRDefault="000450D7">
      <w:pPr>
        <w:pStyle w:val="Kommentartekst"/>
      </w:pPr>
      <w:r>
        <w:rPr>
          <w:rStyle w:val="Kommentarhenvisning"/>
        </w:rPr>
        <w:annotationRef/>
      </w:r>
      <w:r w:rsidR="00D8051D">
        <w:rPr>
          <w:rStyle w:val="Kommentarhenvisning"/>
        </w:rPr>
        <w:t>Stats are there, need to write a few words in description</w:t>
      </w:r>
    </w:p>
  </w:comment>
  <w:comment w:id="1"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2"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5"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6"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 w:id="7"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5794F56C" w15:done="0"/>
  <w15:commentEx w15:paraId="5D1EDC68" w15:done="0"/>
  <w15:commentEx w15:paraId="01511149" w15:done="0"/>
  <w15:commentEx w15:paraId="71BD26C7"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AC093" w14:textId="77777777" w:rsidR="00483120" w:rsidRDefault="00483120" w:rsidP="00476317">
      <w:pPr>
        <w:spacing w:after="0" w:line="240" w:lineRule="auto"/>
      </w:pPr>
      <w:r>
        <w:separator/>
      </w:r>
    </w:p>
  </w:endnote>
  <w:endnote w:type="continuationSeparator" w:id="0">
    <w:p w14:paraId="4AB61ABF" w14:textId="77777777" w:rsidR="00483120" w:rsidRDefault="00483120"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B4ACF" w14:textId="77777777" w:rsidR="00483120" w:rsidRDefault="00483120" w:rsidP="00476317">
      <w:pPr>
        <w:spacing w:after="0" w:line="240" w:lineRule="auto"/>
      </w:pPr>
      <w:r>
        <w:separator/>
      </w:r>
    </w:p>
  </w:footnote>
  <w:footnote w:type="continuationSeparator" w:id="0">
    <w:p w14:paraId="169178A7" w14:textId="77777777" w:rsidR="00483120" w:rsidRDefault="00483120"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D6198"/>
    <w:rsid w:val="000E73B7"/>
    <w:rsid w:val="00193188"/>
    <w:rsid w:val="001B64A8"/>
    <w:rsid w:val="001D64C8"/>
    <w:rsid w:val="001D741B"/>
    <w:rsid w:val="001E6F16"/>
    <w:rsid w:val="001F63D1"/>
    <w:rsid w:val="0020718B"/>
    <w:rsid w:val="00221A85"/>
    <w:rsid w:val="00256FA4"/>
    <w:rsid w:val="002612A3"/>
    <w:rsid w:val="002C5430"/>
    <w:rsid w:val="002E1FFD"/>
    <w:rsid w:val="002F7E87"/>
    <w:rsid w:val="00303ABA"/>
    <w:rsid w:val="0030551C"/>
    <w:rsid w:val="00345509"/>
    <w:rsid w:val="00345F20"/>
    <w:rsid w:val="003667E2"/>
    <w:rsid w:val="003933E8"/>
    <w:rsid w:val="003A2596"/>
    <w:rsid w:val="003B4666"/>
    <w:rsid w:val="003D501E"/>
    <w:rsid w:val="00420902"/>
    <w:rsid w:val="00434301"/>
    <w:rsid w:val="00456B2A"/>
    <w:rsid w:val="00476317"/>
    <w:rsid w:val="00483120"/>
    <w:rsid w:val="0048605E"/>
    <w:rsid w:val="004D6F88"/>
    <w:rsid w:val="00531F76"/>
    <w:rsid w:val="00537B85"/>
    <w:rsid w:val="00553A30"/>
    <w:rsid w:val="005C55A2"/>
    <w:rsid w:val="005E61CC"/>
    <w:rsid w:val="005E76E1"/>
    <w:rsid w:val="005F2038"/>
    <w:rsid w:val="006115DC"/>
    <w:rsid w:val="006272A2"/>
    <w:rsid w:val="006523E8"/>
    <w:rsid w:val="006A50A0"/>
    <w:rsid w:val="006D6204"/>
    <w:rsid w:val="00713795"/>
    <w:rsid w:val="0075223F"/>
    <w:rsid w:val="00762278"/>
    <w:rsid w:val="007D7AA6"/>
    <w:rsid w:val="007E1383"/>
    <w:rsid w:val="007E3C78"/>
    <w:rsid w:val="007E3E29"/>
    <w:rsid w:val="00810C46"/>
    <w:rsid w:val="00814B46"/>
    <w:rsid w:val="00842C9F"/>
    <w:rsid w:val="00845091"/>
    <w:rsid w:val="00867850"/>
    <w:rsid w:val="008B11B1"/>
    <w:rsid w:val="008B1D40"/>
    <w:rsid w:val="008C5CD7"/>
    <w:rsid w:val="008C603A"/>
    <w:rsid w:val="008D15B2"/>
    <w:rsid w:val="00920591"/>
    <w:rsid w:val="009259C6"/>
    <w:rsid w:val="009359CA"/>
    <w:rsid w:val="009573B2"/>
    <w:rsid w:val="009836DB"/>
    <w:rsid w:val="009A78F0"/>
    <w:rsid w:val="009B1EF2"/>
    <w:rsid w:val="009F57C1"/>
    <w:rsid w:val="00A2059F"/>
    <w:rsid w:val="00A67DAF"/>
    <w:rsid w:val="00A816EC"/>
    <w:rsid w:val="00AA20A2"/>
    <w:rsid w:val="00AB5933"/>
    <w:rsid w:val="00B14EDF"/>
    <w:rsid w:val="00B32A59"/>
    <w:rsid w:val="00B4775F"/>
    <w:rsid w:val="00B70FBD"/>
    <w:rsid w:val="00B872F3"/>
    <w:rsid w:val="00B9155A"/>
    <w:rsid w:val="00BA0D8B"/>
    <w:rsid w:val="00BA783B"/>
    <w:rsid w:val="00BC3BAC"/>
    <w:rsid w:val="00BD43D6"/>
    <w:rsid w:val="00C11D12"/>
    <w:rsid w:val="00C22186"/>
    <w:rsid w:val="00CA2E53"/>
    <w:rsid w:val="00CF4C9D"/>
    <w:rsid w:val="00CF5FE1"/>
    <w:rsid w:val="00D144ED"/>
    <w:rsid w:val="00D67420"/>
    <w:rsid w:val="00D8051D"/>
    <w:rsid w:val="00E57CF2"/>
    <w:rsid w:val="00E81BD6"/>
    <w:rsid w:val="00EB4D8B"/>
    <w:rsid w:val="00EC1D1C"/>
    <w:rsid w:val="00F27E02"/>
    <w:rsid w:val="00F55A09"/>
    <w:rsid w:val="00F748DE"/>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10</Pages>
  <Words>3936</Words>
  <Characters>22441</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83</cp:revision>
  <dcterms:created xsi:type="dcterms:W3CDTF">2019-03-20T10:49:00Z</dcterms:created>
  <dcterms:modified xsi:type="dcterms:W3CDTF">2019-05-22T16:26:00Z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