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Challenge 4 - Written Analysis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data shown in challenge 4 is very revealing in terms of outcomes by school. The data collection consists of the school names, total students, grades per student and the dollar amount spent per school. The analysis using Pandas is very insightful because it provides statistical analysis on the outcomes of the students based on a variety of different data points. Using these data points, I am able to provide insightful conclusions for the data.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Based on the analysis, I can conclude that more funding per student does not correlate to higher passing rates in math, reading and overall passing. Instead, some of the schools that are spending the most on education are the ones falling behind the most in terms of overall passing. Another interesting data point is the size of the schools and their success rates. The smaller student size for each school, the better the outcomes are for students for both math and reading. Many of the smaller student sized schools are also charter schools which have been known to spend education dollars more efficiently compared to their public school counterparts. Therefore, lower student counts, proportional spending per student and charter schools results in better outcomes for students in both math and reading.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