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BC91" w14:textId="77777777" w:rsidR="00034E54" w:rsidRDefault="0059370F">
      <w:pPr>
        <w:spacing w:after="20" w:line="240" w:lineRule="auto"/>
        <w:jc w:val="center"/>
      </w:pPr>
      <w:r>
        <w:rPr>
          <w:b/>
          <w:sz w:val="28"/>
        </w:rPr>
        <w:t>APPEAL BRIEF — ONE-PAGE SUMMARY</w:t>
      </w:r>
    </w:p>
    <w:p w14:paraId="3723D700" w14:textId="77777777" w:rsidR="00034E54" w:rsidRDefault="0059370F">
      <w:pPr>
        <w:spacing w:after="80" w:line="240" w:lineRule="auto"/>
        <w:jc w:val="center"/>
      </w:pPr>
      <w:r>
        <w:rPr>
          <w:i/>
          <w:sz w:val="19"/>
        </w:rPr>
        <w:t>Before the Bernalillo County Board of County Commissioners — July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034E54" w14:paraId="0B37F495" w14:textId="77777777">
        <w:tc>
          <w:tcPr>
            <w:tcW w:w="5256" w:type="dxa"/>
          </w:tcPr>
          <w:p w14:paraId="74FBEA0C" w14:textId="77777777" w:rsidR="00034E54" w:rsidRDefault="0059370F">
            <w:r>
              <w:rPr>
                <w:b/>
                <w:sz w:val="17"/>
              </w:rPr>
              <w:t>Case</w:t>
            </w:r>
          </w:p>
        </w:tc>
        <w:tc>
          <w:tcPr>
            <w:tcW w:w="5256" w:type="dxa"/>
          </w:tcPr>
          <w:p w14:paraId="7F4EC066" w14:textId="6616CFE5" w:rsidR="00034E54" w:rsidRDefault="0059370F">
            <w:r>
              <w:rPr>
                <w:sz w:val="17"/>
              </w:rPr>
              <w:t xml:space="preserve">ZBA2026-0001 (appeal </w:t>
            </w:r>
            <w:r w:rsidR="00470A56">
              <w:rPr>
                <w:sz w:val="17"/>
              </w:rPr>
              <w:t>docket)</w:t>
            </w:r>
            <w:r>
              <w:rPr>
                <w:sz w:val="17"/>
              </w:rPr>
              <w:t xml:space="preserve"> BA2026-0001 (appeal </w:t>
            </w:r>
            <w:r w:rsidR="00470A56">
              <w:rPr>
                <w:sz w:val="17"/>
              </w:rPr>
              <w:t>application)</w:t>
            </w:r>
            <w:r>
              <w:rPr>
                <w:sz w:val="17"/>
              </w:rPr>
              <w:t xml:space="preserve"> ZA2026-0024 (underlying CUP)</w:t>
            </w:r>
          </w:p>
        </w:tc>
      </w:tr>
      <w:tr w:rsidR="00034E54" w14:paraId="6EE6EBF7" w14:textId="77777777">
        <w:tc>
          <w:tcPr>
            <w:tcW w:w="5256" w:type="dxa"/>
          </w:tcPr>
          <w:p w14:paraId="7CAE9E6A" w14:textId="77777777" w:rsidR="00034E54" w:rsidRDefault="0059370F">
            <w:r>
              <w:rPr>
                <w:b/>
                <w:sz w:val="17"/>
              </w:rPr>
              <w:t>Property</w:t>
            </w:r>
          </w:p>
        </w:tc>
        <w:tc>
          <w:tcPr>
            <w:tcW w:w="5256" w:type="dxa"/>
          </w:tcPr>
          <w:p w14:paraId="520041BE" w14:textId="77777777" w:rsidR="00034E54" w:rsidRPr="00470A56" w:rsidRDefault="0059370F">
            <w:pPr>
              <w:rPr>
                <w:b/>
                <w:bCs/>
              </w:rPr>
            </w:pPr>
            <w:r w:rsidRPr="00470A56">
              <w:rPr>
                <w:b/>
                <w:bCs/>
                <w:sz w:val="17"/>
              </w:rPr>
              <w:t>9600 2nd Street NW, Bernalillo County, NM 87114 — 3.87 acres, zoned A-1</w:t>
            </w:r>
          </w:p>
        </w:tc>
      </w:tr>
      <w:tr w:rsidR="00034E54" w14:paraId="4FC1081D" w14:textId="77777777">
        <w:tc>
          <w:tcPr>
            <w:tcW w:w="5256" w:type="dxa"/>
          </w:tcPr>
          <w:p w14:paraId="2BF749AF" w14:textId="77777777" w:rsidR="00034E54" w:rsidRDefault="0059370F">
            <w:r>
              <w:rPr>
                <w:b/>
                <w:sz w:val="17"/>
              </w:rPr>
              <w:t>Parties</w:t>
            </w:r>
          </w:p>
        </w:tc>
        <w:tc>
          <w:tcPr>
            <w:tcW w:w="5256" w:type="dxa"/>
          </w:tcPr>
          <w:p w14:paraId="48D2883B" w14:textId="06472AAD" w:rsidR="00034E54" w:rsidRPr="00470A56" w:rsidRDefault="0059370F">
            <w:pPr>
              <w:rPr>
                <w:b/>
                <w:bCs/>
              </w:rPr>
            </w:pPr>
            <w:r w:rsidRPr="00470A56">
              <w:rPr>
                <w:b/>
                <w:bCs/>
                <w:sz w:val="17"/>
              </w:rPr>
              <w:t>Appellant: Pat Hauser, for the Maria-Diers Neighborhood Association &amp; the Regional and Corridor Appellant Coalition</w:t>
            </w:r>
            <w:r w:rsidR="00470A56" w:rsidRPr="00470A56">
              <w:rPr>
                <w:b/>
                <w:bCs/>
                <w:sz w:val="17"/>
              </w:rPr>
              <w:t xml:space="preserve">. </w:t>
            </w:r>
            <w:r w:rsidRPr="00470A56">
              <w:rPr>
                <w:b/>
                <w:bCs/>
                <w:sz w:val="17"/>
              </w:rPr>
              <w:t>Applicant: Albuquerque Islamic Center / Prestige Custom Design LLC (agent: Joseph Tahat).</w:t>
            </w:r>
          </w:p>
        </w:tc>
      </w:tr>
      <w:tr w:rsidR="00034E54" w14:paraId="6A1FAB88" w14:textId="77777777">
        <w:tc>
          <w:tcPr>
            <w:tcW w:w="5256" w:type="dxa"/>
          </w:tcPr>
          <w:p w14:paraId="3B6121B8" w14:textId="77777777" w:rsidR="00034E54" w:rsidRDefault="0059370F">
            <w:r>
              <w:rPr>
                <w:b/>
                <w:sz w:val="17"/>
              </w:rPr>
              <w:t>Decision appealed</w:t>
            </w:r>
          </w:p>
        </w:tc>
        <w:tc>
          <w:tcPr>
            <w:tcW w:w="5256" w:type="dxa"/>
          </w:tcPr>
          <w:p w14:paraId="185759E0" w14:textId="0220EAC9" w:rsidR="00034E54" w:rsidRDefault="0059370F">
            <w:r>
              <w:rPr>
                <w:sz w:val="17"/>
              </w:rPr>
              <w:t xml:space="preserve">Planning Commission's July 1, </w:t>
            </w:r>
            <w:r w:rsidR="00470A56">
              <w:rPr>
                <w:sz w:val="17"/>
              </w:rPr>
              <w:t>2026,</w:t>
            </w:r>
            <w:r>
              <w:rPr>
                <w:sz w:val="17"/>
              </w:rPr>
              <w:t xml:space="preserve"> decision approving a conditional use permit for a 60,000-gross-SF, high-volume multi-use complex (worship hall, recreation facility, </w:t>
            </w:r>
            <w:r w:rsidR="00470A56">
              <w:rPr>
                <w:sz w:val="17"/>
              </w:rPr>
              <w:t>offices)</w:t>
            </w:r>
            <w:r>
              <w:rPr>
                <w:sz w:val="17"/>
              </w:rPr>
              <w:t xml:space="preserve"> the 60,000-SF cap imposed by the Board itself.</w:t>
            </w:r>
          </w:p>
        </w:tc>
      </w:tr>
    </w:tbl>
    <w:p w14:paraId="5C047358" w14:textId="77777777" w:rsidR="00034E54" w:rsidRPr="00470A56" w:rsidRDefault="0059370F">
      <w:pPr>
        <w:spacing w:before="80" w:after="40" w:line="240" w:lineRule="auto"/>
        <w:rPr>
          <w:sz w:val="20"/>
          <w:szCs w:val="20"/>
        </w:rPr>
      </w:pPr>
      <w:r w:rsidRPr="00470A56">
        <w:rPr>
          <w:i/>
          <w:sz w:val="20"/>
          <w:szCs w:val="20"/>
        </w:rPr>
        <w:t>This is a neutral, evidence-based land-use challenge grounded in traffic-engineering standards, procedural due process, legal error, and the mandatory findings of Section 24 of the Bernalillo County Zoning Ordinance. It does not challenge the Applicant's right to build a house of worship or the religious character of the use; the same relief would be sought against any secular applicant proposing a comparable high-volume use on this corridor.</w:t>
      </w:r>
    </w:p>
    <w:p w14:paraId="31C9E93C" w14:textId="77777777" w:rsidR="00034E54" w:rsidRPr="00470A56" w:rsidRDefault="0059370F">
      <w:pPr>
        <w:pBdr>
          <w:bottom w:val="single" w:sz="4" w:space="2" w:color="C0C0C0"/>
        </w:pBdr>
        <w:spacing w:before="100" w:after="40"/>
        <w:rPr>
          <w:sz w:val="20"/>
          <w:szCs w:val="20"/>
        </w:rPr>
      </w:pPr>
      <w:r w:rsidRPr="00470A56">
        <w:rPr>
          <w:b/>
          <w:color w:val="781E1E"/>
          <w:sz w:val="20"/>
          <w:szCs w:val="20"/>
        </w:rPr>
        <w:t>Key Grounds for Appeal</w:t>
      </w:r>
    </w:p>
    <w:p w14:paraId="2A057CB6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</w:t>
      </w:r>
      <w:r w:rsidRPr="00470A56">
        <w:rPr>
          <w:b/>
          <w:sz w:val="20"/>
          <w:szCs w:val="20"/>
        </w:rPr>
        <w:t>No Traffic Impact Analysis:</w:t>
      </w:r>
      <w:r w:rsidRPr="00470A56">
        <w:rPr>
          <w:sz w:val="20"/>
          <w:szCs w:val="20"/>
        </w:rPr>
        <w:t xml:space="preserve"> The CUP was approved without any project-specific TIA or traffic study. The only traffic study in the record — the 2020 Murphy Express Traffic Study (Packet Pg. 1407–1426) — predates even the ITE 11th Edition and documented Level-of-Service F on the Alameda/2nd Street corridor. The Applicant bore the burden under Section 24 to show no undue traffic congestion or hazard; that burden was not met.</w:t>
      </w:r>
    </w:p>
    <w:p w14:paraId="2F8E2AC2" w14:textId="6306A2B9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</w:t>
      </w:r>
      <w:r w:rsidRPr="00470A56">
        <w:rPr>
          <w:b/>
          <w:sz w:val="20"/>
          <w:szCs w:val="20"/>
        </w:rPr>
        <w:t>No current ITE standard:</w:t>
      </w:r>
      <w:r w:rsidRPr="00470A56">
        <w:rPr>
          <w:sz w:val="20"/>
          <w:szCs w:val="20"/>
        </w:rPr>
        <w:t xml:space="preserve"> The County applied no current ITE trip-generation standard. Using the Applicant's own attendance figures and ITE 11th Ed. (2021) rates yields ≈2,164 weekly trips, 560 on a single Friday, and 168 PM peak-hour trips — before counting regional draw or Eid events. The ITE 12th Edition (Aug. 2025) is the current professional standard and was current before </w:t>
      </w:r>
      <w:r w:rsidR="00470A56" w:rsidRPr="00470A56">
        <w:rPr>
          <w:sz w:val="20"/>
          <w:szCs w:val="20"/>
        </w:rPr>
        <w:t>July</w:t>
      </w:r>
      <w:r w:rsidRPr="00470A56">
        <w:rPr>
          <w:sz w:val="20"/>
          <w:szCs w:val="20"/>
        </w:rPr>
        <w:t xml:space="preserve"> 1, </w:t>
      </w:r>
      <w:r w:rsidR="00470A56" w:rsidRPr="00470A56">
        <w:rPr>
          <w:sz w:val="20"/>
          <w:szCs w:val="20"/>
        </w:rPr>
        <w:t>2026,</w:t>
      </w:r>
      <w:r w:rsidRPr="00470A56">
        <w:rPr>
          <w:sz w:val="20"/>
          <w:szCs w:val="20"/>
        </w:rPr>
        <w:t xml:space="preserve"> hearing.</w:t>
      </w:r>
    </w:p>
    <w:p w14:paraId="7C0B29BE" w14:textId="79757290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</w:t>
      </w:r>
      <w:r w:rsidRPr="00470A56">
        <w:rPr>
          <w:b/>
          <w:sz w:val="20"/>
          <w:szCs w:val="20"/>
        </w:rPr>
        <w:t>Day-before site-plan revision:</w:t>
      </w:r>
      <w:r w:rsidRPr="00470A56">
        <w:rPr>
          <w:sz w:val="20"/>
          <w:szCs w:val="20"/>
        </w:rPr>
        <w:t xml:space="preserve"> A revised site plan submitted the afternoon of June 30, </w:t>
      </w:r>
      <w:r w:rsidR="00470A56" w:rsidRPr="00470A56">
        <w:rPr>
          <w:sz w:val="20"/>
          <w:szCs w:val="20"/>
        </w:rPr>
        <w:t>2026,</w:t>
      </w:r>
      <w:r w:rsidRPr="00470A56">
        <w:rPr>
          <w:sz w:val="20"/>
          <w:szCs w:val="20"/>
        </w:rPr>
        <w:t xml:space="preserve"> was not meaningfully available to the public before the hearing — procedurally improper and substantively unfair.</w:t>
      </w:r>
    </w:p>
    <w:p w14:paraId="534D52FC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</w:t>
      </w:r>
      <w:r w:rsidRPr="00470A56">
        <w:rPr>
          <w:b/>
          <w:sz w:val="20"/>
          <w:szCs w:val="20"/>
        </w:rPr>
        <w:t>Unanswered continuance motions:</w:t>
      </w:r>
      <w:r w:rsidRPr="00470A56">
        <w:rPr>
          <w:sz w:val="20"/>
          <w:szCs w:val="20"/>
        </w:rPr>
        <w:t xml:space="preserve"> Appellant's timely 60-day and 120-day continuance motions were never ruled upon before, during, or after the hearing — a procedural due-process violation.</w:t>
      </w:r>
    </w:p>
    <w:p w14:paraId="58757C37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</w:t>
      </w:r>
      <w:r w:rsidRPr="00470A56">
        <w:rPr>
          <w:b/>
          <w:sz w:val="20"/>
          <w:szCs w:val="20"/>
        </w:rPr>
        <w:t>RLUIPA misapplied:</w:t>
      </w:r>
      <w:r w:rsidRPr="00470A56">
        <w:rPr>
          <w:sz w:val="20"/>
          <w:szCs w:val="20"/>
        </w:rPr>
        <w:t xml:space="preserve"> The warning that requiring a TIA could trigger RLUIPA liability was legally misplaced; RLUIPA requires equal treatment of religious and secular assemblies, not exemption from neutral, applicable traffic-safety standards.</w:t>
      </w:r>
    </w:p>
    <w:p w14:paraId="2E2B2EAF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</w:t>
      </w:r>
      <w:r w:rsidRPr="00470A56">
        <w:rPr>
          <w:b/>
          <w:sz w:val="20"/>
          <w:szCs w:val="20"/>
        </w:rPr>
        <w:t>Additional grounds:</w:t>
      </w:r>
      <w:r w:rsidRPr="00470A56">
        <w:rPr>
          <w:sz w:val="20"/>
          <w:szCs w:val="20"/>
        </w:rPr>
        <w:t xml:space="preserve"> the building-height finding lacked evidentiary support; Public Works Technical Standards §8.4 was violated; revised drawings still depict the removed school/daycare; the Balloon Fiesta raised independent unaddressed concerns; and the North Valley Area Plan's transportation policies confirm the corridor's constrained rural character.</w:t>
      </w:r>
    </w:p>
    <w:p w14:paraId="49AACE35" w14:textId="77777777" w:rsidR="00034E54" w:rsidRPr="00470A56" w:rsidRDefault="0059370F">
      <w:pPr>
        <w:pBdr>
          <w:bottom w:val="single" w:sz="4" w:space="2" w:color="C0C0C0"/>
        </w:pBdr>
        <w:spacing w:before="100" w:after="40"/>
        <w:rPr>
          <w:sz w:val="20"/>
          <w:szCs w:val="20"/>
        </w:rPr>
      </w:pPr>
      <w:r w:rsidRPr="00470A56">
        <w:rPr>
          <w:b/>
          <w:color w:val="781E1E"/>
          <w:sz w:val="20"/>
          <w:szCs w:val="20"/>
        </w:rPr>
        <w:t>Key Record Facts</w:t>
      </w:r>
    </w:p>
    <w:p w14:paraId="38B5B0E7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</w:t>
      </w:r>
      <w:r w:rsidRPr="00470A56">
        <w:rPr>
          <w:b/>
          <w:sz w:val="20"/>
          <w:szCs w:val="20"/>
        </w:rPr>
        <w:t>20% protest petition satisfied:</w:t>
      </w:r>
      <w:r w:rsidRPr="00470A56">
        <w:rPr>
          <w:sz w:val="20"/>
          <w:szCs w:val="20"/>
        </w:rPr>
        <w:t xml:space="preserve"> signers own ≈64% of the land within 100 feet of the site (excluding right-of-way), triggering the extraordinary-majority (2/3) vote requirement.</w:t>
      </w:r>
    </w:p>
    <w:p w14:paraId="2D506C1B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County traffic engineer Julia Luna testified that Alameda "absolutely does have a congestion issue" and "it is a regional problem," warning that a TIA deferred to building permit "is not mitigating the regional issue."</w:t>
      </w:r>
    </w:p>
    <w:p w14:paraId="015007A7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Commissioner Withers voted to grant the appeal: "There is not a way to address the traffic issues… good luck. That really frustrates me."</w:t>
      </w:r>
    </w:p>
    <w:p w14:paraId="76423BDA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The site is in a rural area outside Albuquerque city limits, governed by the North Valley Area Plan's rural designation.</w:t>
      </w:r>
    </w:p>
    <w:p w14:paraId="65FEFE26" w14:textId="77777777" w:rsidR="00034E54" w:rsidRPr="00470A56" w:rsidRDefault="0059370F">
      <w:pPr>
        <w:pBdr>
          <w:bottom w:val="single" w:sz="4" w:space="2" w:color="C0C0C0"/>
        </w:pBdr>
        <w:spacing w:before="100" w:after="40"/>
        <w:rPr>
          <w:sz w:val="20"/>
          <w:szCs w:val="20"/>
        </w:rPr>
      </w:pPr>
      <w:r w:rsidRPr="00470A56">
        <w:rPr>
          <w:b/>
          <w:color w:val="781E1E"/>
          <w:sz w:val="20"/>
          <w:szCs w:val="20"/>
        </w:rPr>
        <w:t>Relief Requested</w:t>
      </w:r>
    </w:p>
    <w:p w14:paraId="0268E907" w14:textId="1E6B92BF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Reverse or remand the July 1, </w:t>
      </w:r>
      <w:r w:rsidR="00470A56" w:rsidRPr="00470A56">
        <w:rPr>
          <w:sz w:val="20"/>
          <w:szCs w:val="20"/>
        </w:rPr>
        <w:t>2026,</w:t>
      </w:r>
      <w:r w:rsidRPr="00470A56">
        <w:rPr>
          <w:sz w:val="20"/>
          <w:szCs w:val="20"/>
        </w:rPr>
        <w:t xml:space="preserve"> approval.</w:t>
      </w:r>
    </w:p>
    <w:p w14:paraId="0DC05044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Require a project-specific TIA and corridor-level analysis at the conditional-use stage — not deferred to building permit.</w:t>
      </w:r>
    </w:p>
    <w:p w14:paraId="25D40651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Rule on and uphold Appellant's 60-day and 120-day continuance motions.</w:t>
      </w:r>
    </w:p>
    <w:p w14:paraId="52031217" w14:textId="77777777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Require written rulings on continuance motions and written responses to formal procedural inquiries.</w:t>
      </w:r>
    </w:p>
    <w:p w14:paraId="5AD9CCD4" w14:textId="588505F8" w:rsidR="00034E54" w:rsidRPr="00470A56" w:rsidRDefault="0059370F">
      <w:pPr>
        <w:spacing w:after="30" w:line="240" w:lineRule="auto"/>
        <w:ind w:left="259" w:hanging="202"/>
        <w:rPr>
          <w:sz w:val="20"/>
          <w:szCs w:val="20"/>
        </w:rPr>
      </w:pPr>
      <w:r w:rsidRPr="00470A56">
        <w:rPr>
          <w:sz w:val="20"/>
          <w:szCs w:val="20"/>
        </w:rPr>
        <w:t>▪</w:t>
      </w:r>
      <w:r w:rsidRPr="00470A56">
        <w:rPr>
          <w:sz w:val="20"/>
          <w:szCs w:val="20"/>
        </w:rPr>
        <w:t xml:space="preserve"> Correct the misapplication of </w:t>
      </w:r>
      <w:r w:rsidR="00470A56" w:rsidRPr="00470A56">
        <w:rPr>
          <w:sz w:val="20"/>
          <w:szCs w:val="20"/>
        </w:rPr>
        <w:t>RLUIPA and</w:t>
      </w:r>
      <w:r w:rsidRPr="00470A56">
        <w:rPr>
          <w:sz w:val="20"/>
          <w:szCs w:val="20"/>
        </w:rPr>
        <w:t xml:space="preserve"> adopt interim protections plus ordinance reforms (neutral temporary moratorium, corridor/regional studies, and ordinance amendments for high-volume uses).</w:t>
      </w:r>
    </w:p>
    <w:p w14:paraId="7093BE00" w14:textId="77777777" w:rsidR="00034E54" w:rsidRPr="00470A56" w:rsidRDefault="0059370F">
      <w:pPr>
        <w:spacing w:before="60" w:after="40" w:line="240" w:lineRule="auto"/>
        <w:rPr>
          <w:sz w:val="20"/>
          <w:szCs w:val="20"/>
        </w:rPr>
      </w:pPr>
      <w:r w:rsidRPr="00470A56">
        <w:rPr>
          <w:b/>
          <w:sz w:val="20"/>
          <w:szCs w:val="20"/>
        </w:rPr>
        <w:t>Conclusion: the appeal should be granted.</w:t>
      </w:r>
    </w:p>
    <w:p w14:paraId="6EECEFCC" w14:textId="5D1CF663" w:rsidR="00034E54" w:rsidRPr="00470A56" w:rsidRDefault="0059370F">
      <w:pPr>
        <w:spacing w:after="0" w:line="240" w:lineRule="auto"/>
        <w:jc w:val="center"/>
        <w:rPr>
          <w:sz w:val="20"/>
          <w:szCs w:val="20"/>
        </w:rPr>
      </w:pPr>
      <w:r w:rsidRPr="00470A56">
        <w:rPr>
          <w:i/>
          <w:sz w:val="20"/>
          <w:szCs w:val="20"/>
        </w:rPr>
        <w:t xml:space="preserve">This summary is a guide to the full 36-page Appeal Brief and </w:t>
      </w:r>
      <w:r w:rsidR="00470A56" w:rsidRPr="00470A56">
        <w:rPr>
          <w:i/>
          <w:sz w:val="20"/>
          <w:szCs w:val="20"/>
        </w:rPr>
        <w:t>support</w:t>
      </w:r>
      <w:r w:rsidRPr="00470A56">
        <w:rPr>
          <w:i/>
          <w:sz w:val="20"/>
          <w:szCs w:val="20"/>
        </w:rPr>
        <w:t xml:space="preserve"> exhibits, which are available on this portal. Prepared by Appellant and Appeal Coalition.</w:t>
      </w:r>
    </w:p>
    <w:sectPr w:rsidR="00034E54" w:rsidRPr="00470A56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026306">
    <w:abstractNumId w:val="8"/>
  </w:num>
  <w:num w:numId="2" w16cid:durableId="635186547">
    <w:abstractNumId w:val="6"/>
  </w:num>
  <w:num w:numId="3" w16cid:durableId="841090094">
    <w:abstractNumId w:val="5"/>
  </w:num>
  <w:num w:numId="4" w16cid:durableId="534582262">
    <w:abstractNumId w:val="4"/>
  </w:num>
  <w:num w:numId="5" w16cid:durableId="1074277878">
    <w:abstractNumId w:val="7"/>
  </w:num>
  <w:num w:numId="6" w16cid:durableId="1077871386">
    <w:abstractNumId w:val="3"/>
  </w:num>
  <w:num w:numId="7" w16cid:durableId="16930758">
    <w:abstractNumId w:val="2"/>
  </w:num>
  <w:num w:numId="8" w16cid:durableId="1673532868">
    <w:abstractNumId w:val="1"/>
  </w:num>
  <w:num w:numId="9" w16cid:durableId="29375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E54"/>
    <w:rsid w:val="0006063C"/>
    <w:rsid w:val="0015074B"/>
    <w:rsid w:val="0029639D"/>
    <w:rsid w:val="00326F90"/>
    <w:rsid w:val="00470A56"/>
    <w:rsid w:val="0059370F"/>
    <w:rsid w:val="00940E8D"/>
    <w:rsid w:val="00A623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029B5"/>
  <w14:defaultImageDpi w14:val="300"/>
  <w15:docId w15:val="{E2768D8D-D138-4192-9B4A-C8FA36A1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ill Sans MT" w:hAnsi="Gill Sans MT" w:cs="Gill Sans MT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Victoria Chavez</cp:lastModifiedBy>
  <cp:revision>2</cp:revision>
  <cp:lastPrinted>2026-07-19T17:40:00Z</cp:lastPrinted>
  <dcterms:created xsi:type="dcterms:W3CDTF">2026-07-19T17:43:00Z</dcterms:created>
  <dcterms:modified xsi:type="dcterms:W3CDTF">2026-07-19T17:43:00Z</dcterms:modified>
  <cp:category/>
</cp:coreProperties>
</file>